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C-7386/2008 vom 3. Januar 2011</w:t>
      </w:r>
    </w:p>
    <w:p>
      <w:r>
        <w:t>Bundesverwaltungsgericht, 2011-01-03, FR</w:t>
      </w:r>
    </w:p>
    <w:p>
      <w:r>
        <w:rPr>
          <w:b/>
        </w:rPr>
        <w:t xml:space="preserve">Quelle: </w:t>
      </w:r>
      <w:r>
        <w:t>https://mcp.opencaselaw.ch/entscheid/bvger_C-7386_2008</w:t>
      </w:r>
    </w:p>
    <w:p>
      <w:r>
        <w:t>FR: TAF C-7386/2008 du 3 janvier 2011</w:t>
      </w:r>
    </w:p>
    <w:p>
      <w:r>
        <w:t>IT: TAF C-7386/2008 del 3 gennaio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sont applicables.</w:t>
      </w:r>
    </w:p>
    <w:p>
      <w:r>
        <w:rPr>
          <w:b/>
        </w:rPr>
        <w:t>E. 3</w:t>
      </w:r>
    </w:p>
    <w:p>
      <w:r>
        <w:t>L'objet du litige selon le dispositif de la décision attaquée du 7 octobre 2008 est la suppression avec effet au 1er novembre 2008 de la rente d'invalidité perçue par l'intéressée par décision initiale du 30 mai 2002 au motif d'une amélioration de son état de santé, subsidiairement au motif d'une reconsidération de la décision initiale qui aurait été manifestement erronée selon la réponse au recours de l'OAIE, respectivement de l'OAI-GE, du 10 juillet 2009. La question du droit éventuel à des mesures d'ordre professionnel n'ayant pas été examinée matériellement par l'OAIE, respectivement par l'OAI-GE, ni tranchée dans le dispositif de la décision attaquée, le Tribunal de céans ne se prononcera pas faute d'une décision afférente à ce sujet.</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(cf. l'accord entre la Suisse et la Communauté européenne et ses Etats membres sur la libre circulation des personnes du 21 juin 1999 [ALCP, RS 0.142.112.681], Annexe II art. 1er ch. 2),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l'octroi de la rente entière par décision du 30 mai 2002 de l'OAIE, confirmée ultérieurement (in casu la reconduction est essentielle), est la base de comparaison avec la décision de suppression du 7 octobre 2008.</w:t>
      </w:r>
    </w:p>
    <w:p>
      <w:r>
        <w:rPr>
          <w:b/>
        </w:rPr>
        <w:t>E. 6.1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125 V 368; 122 V 21 consid. 3a, 173 consid. 4a, 271 consid. 2, 368 consid. 3; 121 V 4 consid. 6; 119 V 183 consid. 3a, 477 consid. 1a; 117 V 12 consid. 2a).</w:t>
      </w:r>
    </w:p>
    <w:p>
      <w:r>
        <w:rPr>
          <w:b/>
        </w:rPr>
        <w:t>E. 6.2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En l'espèce, l'intéressée a été mise au bénéfice d'une rente entière d'invalidité dès le 1er janvier 2001. En janvier 2000 l'intéressée était enceinte, sa grossesse a été qualifiée de normale. En particulier, elle ne suivait pas de traitement médical pour un taux d'hématocrite trop élevé. Par la suite, après la naissance de son enfant le 18 avril 2000, elle a été en congé maternité de 8 semaines et ce n'est que le 26 juin 2000 qu'un état invalidant a été médicalement retenu. Au moment où la décision d'octroi de rente a été prise, par le prononcé de l'OAI-GE du 22 avril 2002, il sied de relever que l'office disposait d'un dossier médical notamment constitué du rapport du Dr B._______ du 11 avril 2001, du rapport du Dr C._______ du 21 décembre 2001 faisant état de correspondances médicales du Dr N._______ portant sur les années 2000 et 2001.</w:t>
      </w:r>
    </w:p>
    <w:p>
      <w:r>
        <w:rPr>
          <w:b/>
        </w:rPr>
        <w:t>E. 9.2</w:t>
      </w:r>
    </w:p>
    <w:p>
      <w:r>
        <w:t>Quelque fut réellement l'atteinte dont souffrit l'intéressée en relation avec un taux d'hématocrite trop élevé détecté notamment en 1999 qui s'est vraisemblablement abaissé au cours de la grossesse de l'intéressée et qui est remonté après la naissance de son enfant, que l'atteinte fut une polyglobulie essentielle ou secondaire, le Tribunal de céans retient que les atteintes à la santé énoncées et discutées sont en corrélation avec les troubles constatés et que ce n'est pas par une décision manifestement erronée que l'intéressée a été mise au bénéfice d'une rente d'invalidité. Pour rendre sa décision du 30 mai 2002, l'Office AI cantonal a opéré une appréciation médicale qui ne saurait être discutée une nouvelle fois dans le cadre d'une reconsidération, ce qui est explicitement interdit par la jurisprudence mentionnée ci-dessus (consid. 6.2). Par ailleurs, il sied de relever que le droit à une rente entière a été confirmé par communication du 13 mai 2003 sur la base d'éléments médicaux appréciés par le Dr D._______ de l'OAI-GE. Ce dernier s'est notamment fondé sur les rapports médicaux du Dr E._______ des 26 novembre 2002 et 18 mars 2003 notant un état stationnaire, des céphalées, myalgies, dysesthésies, douleurs articulaires multiples, un suivi bimestriel, une bonne concordance entre les plaintes et l'examen clinique et le rapport médical du Dr F._______, néphrologue, rapportant un état inchangé même suite à l'arrêt du Piroxicam(R). Le Tribunal de céans ne peut dès lors confirmer la motivation de l'OAIE, respectivement de l'OAI-GE, quant à la nécessité d'une reconsidération de la décision initiale qui aurait été manifestement erronée.</w:t>
      </w:r>
    </w:p>
    <w:p>
      <w:r>
        <w:rPr>
          <w:b/>
        </w:rPr>
        <w:t>E. 10.1</w:t>
      </w:r>
    </w:p>
    <w:p>
      <w:r>
        <w:t>Sous l'angle des dispositions relatives à la révision du droit à la rente au sens de l'art. 17 LPGA, il y a lieu d'examiner s'il peut être retenu une amélioration de l'état de santé de l'intéressée depuis, d'une part, l'octroi de la rente le 30 mai 2002 et, d'autre part, le 7 octobre 2008.</w:t>
      </w:r>
    </w:p>
    <w:p>
      <w:r>
        <w:rPr>
          <w:b/>
        </w:rPr>
        <w:t>E. 10.2</w:t>
      </w:r>
    </w:p>
    <w:p>
      <w:r>
        <w:t>Il appert de la nouvelle documentation médicale que le 24 mai 2005 l'intéressée a été opérée d'une hernie discale sans complication et qu'un arrêt de travail a été établi à cette occasion pour 2 mois par le Dr G._______. Il ne ressort pas du dossier médical que cette intervention ait été suivie de complications. Le Dr E._______ relève dans un rapport du 18 mai 2006 un état amélioré depuis l'opération et note la persistance de séquelles. Tout en retenant une invalidité de 100% il propose que des mesures professionnelles soient entreprises et indique à ce titre des limitations fonctionnelles, à savoir pas de port de charges lourdes, pas de position assise prolongée, d'autres positions étant difficiles. En ce faisant le Dr E._______ a retenu l'existence d'une capacité de travail résiduelle en contradiction toutefois avec l'invalidité à 100% déjà attestée. Dans son rapport du 13 juillet 2006, le Dr H._______ ne retient pas les mêmes limitations fonctionnelles du Dr E._______ et relève un bon status général de l'intéressée en contradiction toutefois avec son appréciation finale d'une capacité de travail de 30% au moins, pouvant tendre à un taux de 50% après un réentraînement au travail de 2-3 mois, devant être déterminée dans le cadre d'un stage d'observation tenant compte des limitations suivantes: pas de position fixe, une limitation des ports de charge à 15 kg, pas de travaux lourds, pas de travaux exclusifs sur écran visuel et/ou clavier, pas de cadence élevée dans l'accomplissement des tâches, pas de travaux particulièrement fatigants et stressants. Pour sa part, la Dresse I._______, dans sa dernière prise de position du 30 juillet 2007 pour l'OAI-GE, interpréta l'expertise du Dr H._______ dans le sens que l'intéressée ne présentait aucune atteinte à sa santé fondée sur un substrat organique et qu'en conséquence sa capacité de travail était de 100% dans une activité adaptée 3 mois après l'intervention du 24 mai 2005, soit en août 2005, étant précisé que l'octroi de la rente initiale avait été effectué dans des conditions manifestement erronées.</w:t>
      </w:r>
    </w:p>
    <w:p>
      <w:r>
        <w:rPr>
          <w:b/>
        </w:rPr>
        <w:t>E. 10.3</w:t>
      </w:r>
    </w:p>
    <w:p>
      <w:r>
        <w:t>L'appréciation de la Dresse I._______ s'écarte substantiellement des conclusions des rapports du Dr H._______ et du Dr E._______. Les raisons d'une évaluation si différente ne sont toutefois pas expliquées. La Dresse I._______ avait en outre encore retenu dans son rapport du 31 juillet 2006 une incapacité de travail de 50% dans une activité adaptée et dans l'ancienne activité de l'intéressée de secrétaire caissière. Or, rien au dossier ne permet de comprendre pour quelles raisons la Dresse I._______ est revenue sur sa précédente appréciation. Il s'ensuit que le dossier médical contient des contradictions patentes. En outre, l'autorité inférieure n'a pas procédé à une évaluation de la capacité de travail de l'intéressée comme l'avait requis le Prof. H._______. La cause doit par conséquent être renvoyée à l'autorité inférieure en application de l'art. 61 PA pour complément d'instruction, à savoir une nouvelle évaluation médicale de la capacité de travail résiduelle de la recourante dans des activités adaptées.</w:t>
      </w:r>
    </w:p>
    <w:p>
      <w:r>
        <w:rPr>
          <w:b/>
        </w:rPr>
        <w:t>E. 11.1</w:t>
      </w:r>
    </w:p>
    <w:p>
      <w:r>
        <w:t>La recourante ayant eu partiellement gain de cause il n'est pas perçu de frais de procédure et l'avance de frais versée de Fr. 300.- lui est restituée.</w:t>
      </w:r>
    </w:p>
    <w:p>
      <w:r>
        <w:rPr>
          <w:b/>
        </w:rPr>
        <w:t>E. 11.2</w:t>
      </w:r>
    </w:p>
    <w:p>
      <w:r>
        <w:t>La recourante ayant agi en étant représentée, il lui est alloué une indemnité globale de dépens à charge de l'autorité inférieure de Fr. 2'500.- (art. 64 al. 1 PA et art. 7 ss du règlement du 21 février 2008 concernant les frais, dépens et indemnités fixés par le Tribunal administratif fédéral [FITAF, RS 173.320.2]), compte tenu de l'issue du recours, de la difficulté de la cause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