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C-7382/2016 vom 11. Juli 2019</w:t>
      </w:r>
    </w:p>
    <w:p>
      <w:r>
        <w:t>Bundesverwaltungsgericht, 2019-07-11, DE</w:t>
      </w:r>
    </w:p>
    <w:p>
      <w:r>
        <w:rPr>
          <w:b/>
        </w:rPr>
        <w:t xml:space="preserve">Quelle: </w:t>
      </w:r>
      <w:r>
        <w:t>https://mcp.opencaselaw.ch/entscheid/bvger_C-7382_2016</w:t>
      </w:r>
    </w:p>
    <w:p>
      <w:r>
        <w:t>FR: TAF C-7382/2016 du 11 juillet 2019</w:t>
      </w:r>
    </w:p>
    <w:p>
      <w:r>
        <w:t>IT: TAF C-7382/2016 del 11 luglio 2019</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2. November 2016 (act. 456)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(B-act. 10), einzutreten.</w:t>
      </w:r>
    </w:p>
    <w:p>
      <w:r>
        <w:rPr>
          <w:b/>
        </w:rPr>
        <w:t>E. 1.4.1</w:t>
      </w:r>
    </w:p>
    <w:p>
      <w:r>
        <w:t>Anfechtungsobjekt und damit Begrenzung des Streitgegenstandes des vorliegenden Beschwerdeverfahrens (vgl. BGE 131 V 164 E. 2.1) bildet der Nichteintretensentscheid der Vorinstanz vom 2. November 2016. Streitig und zu prüfen ist, ob die Vorinstanz zu Recht auf die Neuanmeldung vom 3. Juni 2016 nicht eingetreten ist.</w:t>
      </w:r>
    </w:p>
    <w:p>
      <w:r>
        <w:rPr>
          <w:b/>
        </w:rPr>
        <w:t>E. 1.4.2</w:t>
      </w:r>
    </w:p>
    <w:p>
      <w:r>
        <w:t>Hinsichtlich der beantragten Anpassung resp. Erhöhung der IV-Rente auf den Stand wie vor dem Jahr 2013 ist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 Nicht Gegenstand des vorliegenden Beschwerdeverfahrens ist somit die Frage nach der Erhöhung der laufenden Dreiviertelsrente auf eine ganze IV-Rente; darüber wird die Vor-instanz im Rahmen der materiellen Prüfung der Neuanmeldung vom 3. Juni 2016 im Verwaltungsverfahren zu befinden haben. Soweit der Beschwerdeführer im vorliegenden Beschwerdeverfahren eine ganze IV-Rente beantragt hat, kann darauf nach dem Dargelegten unter Hinweis auf das diesbezüglich fehlende Anfechtungsobjekt nicht eingetreten werden.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Schweizer Staatsbürger und wohnt in Spanien, sodass vorliegend in erster Linie Schweizer Recht anwendbar ist. Ebenfalls kann das am 1. Juni 2002 in Kraft getretene Abkommen zwischen der Schweizerischen Eidgenossenschaft einerseits und der Europäischen Gemeinschaft andererseits über die Freizügigkeit vom 21. Juni 1999 (Freizügigkeitsabkommen, im Folgenden: FZA, SR 0.142.112.681) zur Anwendung gelangen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2.2</w:t>
      </w:r>
    </w:p>
    <w:p>
      <w:r>
        <w:t>Mit Blick auf den Verfügungszeitpunkt (2. November 2016) finden vorliegend die am 1. April 2012 in Kraft getretenen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 November 2016 (act. 456)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Ändert sich der Invaliditätsgrad einer Rentenbezügerin oder eines Rentenbezügers erheblich, so wird die Rente von Amtes wegen oder auf Gesuch hin für die Zukunft entsprechend erhöht, herabgesetzt oder aufgehoben (Art. 17 Abs. 1 ATSG). Wird ein Gesuch um Revision eingereicht, so ist darin glaubhaft zu machen, dass sich der Grad der Invalidität des Versicherten in einer für den Anspruch erheblichen Weise geändert hat (Art. 87 Abs. 2 IVV). Der Untersuchungsgrundsatz, wonach das Gericht von Amtes wegen für die richtige und vollständige Abklärung des rechtserheblichen Sachverhalts zu sorgen hat, spielt insoweit nicht.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in tatsächlicher und rechtlicher Hinsicht allseitig zu prüfen (BGE 117 V 198 E. 4b).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w:t>
      </w:r>
    </w:p>
    <w:p>
      <w:r>
        <w:rPr>
          <w:b/>
        </w:rPr>
        <w:t>E. 2.5</w:t>
      </w:r>
    </w:p>
    <w:p>
      <w:r>
        <w:t>Verneint die Verwaltung nach Eingang eines Revisionsgesuchs die Glaubhaftigkeit der Vorbringen einer versicherten Person, erledigt sie das Gesuch ohne weitere Abklärungen durch Nichteintreten. Dabei hat sie unter anderem zu berücksichtigen,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108 E. 2b).</w:t>
      </w:r>
    </w:p>
    <w:p>
      <w:r>
        <w:rPr>
          <w:b/>
        </w:rPr>
        <w:t>E. 3</w:t>
      </w:r>
    </w:p>
    <w:p>
      <w:r>
        <w:t>Vorab sind in einem ersten Schritt die zeitlichen Referenzpunkte zu bestimmen:</w:t>
      </w:r>
    </w:p>
    <w:p>
      <w:r>
        <w:rPr>
          <w:b/>
        </w:rPr>
        <w:t>E. 3.1</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SVR 2013 IV Nr. 44 S. 135 E. 3.1.2).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 2010 IV Nr. 4 S. 8 E. 3.1).</w:t>
      </w:r>
    </w:p>
    <w:p>
      <w:r>
        <w:rPr>
          <w:b/>
        </w:rPr>
        <w:t>E. 3.2</w:t>
      </w:r>
    </w:p>
    <w:p>
      <w:r>
        <w:t>Die Vorinstanz vertrat die Auffassung, dass die zeitlichen Referenzpunkte einerseits die Verfügung der IV-Stelle C._______ vom 2. Februar 2016 (act. 183) und andererseits die vorliegend angefochtene Verfügung vom 2. November 2016 (act. 456) sind. Wie nachfolgend aufzuzeigen ist, kann dieser Auffassung nicht gefolgt werden:</w:t>
      </w:r>
    </w:p>
    <w:p>
      <w:r>
        <w:rPr>
          <w:b/>
        </w:rPr>
        <w:t>E. 3.2.1</w:t>
      </w:r>
    </w:p>
    <w:p>
      <w:r>
        <w:t>Dr. med. I._______, Facharzt für Physikalische Medizin und Rehabilitation, Rheumatologie und Allgemeine Innere Medizin, vom RAD nahm zwar am 5. Oktober 2015 (act. 194) und 17. November 2015 (act. 189) Stellung zum rein somatischen Gesundheitszustand des Beschwerdeführers. Ebenso klärte die IV-Stelle C._______ den rein psychisch-psychiatrischen Gesundheitszustand mittels Berichterstattung der Dres. med. J._______, Facharzt für Psychiatrie und Psychotherapie, und P._______, Fachärztin für Psychiatrie und Psychotherapie, ab. Da jedoch beim Beschwerdeführer offensichtlich seit vielen Jahren physische und psychische Beeinträchtigungen zusammenwirken (vgl. E. 4.1.3 hiernach), war es grundsätzlich nicht gerechtfertigt, die somatischen und psychischen Befunde und deren Einfluss auf die Arbeits- und Erwerbsfähigkeit isoliert abzuklären. Vielmehr wären bei dieser Sachlage die medizinischen Abklärungen mittels einer interdisziplinären Untersuchung durchzuführen gewesen (vgl. hierzu Urteil des BGer 8C_189/2008 vom 4. Juli 2008 E. 5. mit Hinweis auf das Urteil des BGer 8C_321/2007 vom 6. Mai 2008 E. 6.3). Da dies versäumt worden war, liegt keine rechtskonforme Sachverhaltsabklärung im Sinn der bundesgerichtlichen Rechtsprechung vor (vgl. hierzu Urteil des BGer 9C_187/2010 vom 11. August 2010 E. 4.2).</w:t>
      </w:r>
    </w:p>
    <w:p>
      <w:r>
        <w:rPr>
          <w:b/>
        </w:rPr>
        <w:t>E. 3.2.2</w:t>
      </w:r>
    </w:p>
    <w:p>
      <w:r>
        <w:t>Mit Blick auf diese höchstrichterliche Rechtsprechung und den Umstand, dass die Dres. med. I._______, J._______ und P._______ den Beschwerdeführer nicht persönlich untersucht, sondern bloss eine Aktenbeurteilung abgegeben hatten, kann als zeitlicher Referenzzeitpunkt mangels rechtskonformer (medizinischer) Sachverhaltsabklärung nicht die unangefochten in Rechtskraft erwachsene Verfügung der IV-Stelle C._______ vom 2. Februar 2016 dienen.</w:t>
      </w:r>
    </w:p>
    <w:p>
      <w:r>
        <w:rPr>
          <w:b/>
        </w:rPr>
        <w:t>E. 3.3</w:t>
      </w:r>
    </w:p>
    <w:p>
      <w:r>
        <w:t>Im Rahmen des Erlasses der ebenfalls unangefochten in Rechtskraft erwachsenen Verfügung der IVSTA vom 5. Juni 2013 (act. 175 S. 22 bis 25) diente der Vorinstanz als Entscheidbasis in medizinischer Hinsicht insbesondere die interdisziplinäre Expertise der Dres. med. E._______, Facharzt für Innere Medizin und Rheumaerkrankungen, und F._______, Facharzt für Psychiatrie und Psychotherapie, vom 11. Mai 2012 (act. 268; vgl. auch act. 265). Mit Blick auf diese rechtskonforme Ermittlung des damals vorliegenden medizinischen Sachverhalts und das in vorstehender Erwägung 3.2 Dargelegte und in Anwendung der höchstrichterlichen Rechtsprechung bilden deshalb im vorliegenden Fall zeitliche Referenzpunkte der 5. Juni 2013 und - anstelle des 2. Februars 2016 - der 2. November 2016.</w:t>
      </w:r>
    </w:p>
    <w:p>
      <w:r>
        <w:rPr>
          <w:b/>
        </w:rPr>
        <w:t>E. 4.1</w:t>
      </w:r>
    </w:p>
    <w:p>
      <w:r>
        <w:t>Wie vorstehend erwähnt (vgl. E. 3.3 hiervor), stützte sich die Vorinstanz im Rahmen der Verfügung vom 5. Juni 2013 auf das interdisziplinäre Gutachten der Dres. med. E._______ und F._______ vom 11. Mai 2012. Diese Expertise ist im Folgenden zusammengefasst wiederzugeben:</w:t>
      </w:r>
    </w:p>
    <w:p>
      <w:r>
        <w:rPr>
          <w:b/>
        </w:rPr>
        <w:t>E. 4.1.1</w:t>
      </w:r>
    </w:p>
    <w:p>
      <w:r>
        <w:t>Dr. med. F._______, Facharzt für Psychiatrie und Psychotherapie, diagnostizierte in seinem Gutachten vom 4. Mai 2012 (act. 265 S. 1 bis 11) eine rezidivierende depressive Störung, gegenwärtig mittelgradige Episode (ICD-10: F33.1), sowie prekäre persönliche Verhältnisse und einen Status nach Trennung von der Ehefrau (ICD-10: Z63). Weiter wies er darauf hin, dass keine somatoforme Schmerzstörung vorliege. Auf der psychischen Ebene gebe es in Hinsicht auf die früher ausgeübte Tätigkeit Einschränkungen. Es sei auf den negativen Einfluss der Symptomatik hinzuweisen. Die Arbeitsfähigkeit sei aus psychiatrischer Sicht derzeitig zu 40 % bis 50 % herabgesetzt. Mit Hilfe einer adäquaten medikamentösen Behandlung könne eine Arbeitsfähigkeit erreicht werden, welche um die 70 % bis 80 % liege. Dr. med. J._______ habe durchwegs schwere depressive Episoden festgehalten. Die eher sporadischen Besprechungen bei seinem Psychiater bzw. das Fehlen einer kontrollierten, antidepressiv wirkenden Therapie liessen gewisse Zweifel am Vorhandensein von schweren depressiven Episoden aufkommen.</w:t>
      </w:r>
    </w:p>
    <w:p>
      <w:r>
        <w:rPr>
          <w:b/>
        </w:rPr>
        <w:t>E. 4.1.2</w:t>
      </w:r>
    </w:p>
    <w:p>
      <w:r>
        <w:t>Dr. med. E._______, Facharzt für Innere Medizin und Rheumaerkrankungen, diagnostizierte in seinem Gutachten vom 11. Mai 2012 (act. 268 S. 1 bis 15) mit Auswirkungen auf die Arbeitsfähigkeit unter anderem ein chronisches lumbospondylogenes Syndrom, eine Gonarthrose links sowie Gonalgien rechts bei einem Status nach einer Implantation einer Knieprothese. Weiter berichtet Dr. med. E._______, die Arbeitsfähigkeit sei aus rein somatisch-rheumatologischer Sicht für die bis Mitte der Neunzigerjahre mehrjährig ausgeübten beruflichen Tätigkeiten im administrativen Bereich, welche mit Kontrollfunktionen auf Baustellen verbunden gewesen seien, seit dem Zeitpunkt der Begutachtung zu maximal 50 % eingeschränkt. Für eine angepasste Verweistätigkeit könne derzeit eine Einschränkung der Arbeitsfähigkeit von maximal 35 % bis 40 % formuliert werden.</w:t>
      </w:r>
    </w:p>
    <w:p>
      <w:r>
        <w:rPr>
          <w:b/>
        </w:rPr>
        <w:t>E. 4.1.3</w:t>
      </w:r>
    </w:p>
    <w:p>
      <w:r>
        <w:t>Im Rahmen der interdisziplinären Beurteilung vom 11. Mai 2012 (act. 268 S. 16 und 17) führten die Dres. med. E._______ und F._______ zusammengefasst aus, es ergebe sich für die zuletzt ausgeübten Tätigkeiten nach Umsetzung der therapeutischen Massnahmen eine Arbeitsunfähigkeit von zirka 60 %. Es werde berücksichtigt, dass sich die psychischen und somatischen Befunde teilweise überdeckten. Für eine angepasste Verweistätigkeit ergebe sich eine Einschränkung der Zumutbarkeit von zirka 50 %.</w:t>
      </w:r>
    </w:p>
    <w:p>
      <w:r>
        <w:rPr>
          <w:b/>
        </w:rPr>
        <w:t>E. 4.2</w:t>
      </w:r>
    </w:p>
    <w:p>
      <w:r>
        <w:t>Im Rahmen des Revisionsgesuchs vom 3. Juni 2016 reichte der Beschwerdeführer einen Befundbericht von Dr. K._______, Facharzt für Orthopädie, vom 31. Mai 2016 (act. 178) sowie weitere ärztliche Unterlagen (act. 452 und 453) - namentlich auch einen Bericht der Psychiaterin Dr. N._______ vom 28. Juli 2016 (act. 449 bzw. 451) - ein.</w:t>
      </w:r>
    </w:p>
    <w:p>
      <w:r>
        <w:rPr>
          <w:b/>
        </w:rPr>
        <w:t>E. 4.2.1</w:t>
      </w:r>
    </w:p>
    <w:p>
      <w:r>
        <w:t>In Kenntnis dieser vom Beschwerdeführer übermittelten medizinischen Berichte führte Dr. med. L._______, Facharzt für Allgemeine Medizin, vom RAD am 20. Oktober 2016 aus, aufgrund des Berichts von Dr. N._______ vom 28. Juli 2016 sei keine länger dauernde, schwere Psychopathologie dokumentiert worden, und eine Arbeitsunfähigkeit sei nicht angegeben worden. Weiter gab Dr. med. L._______ rudimentär den Inhalt des Berichts von Dr. K._______ vom 31. Mai 2016 wieder und berichtete weiter, die Stellungnahme vom 16. Juni 2016 müsse nicht geändert werden (act. 455).</w:t>
      </w:r>
    </w:p>
    <w:p>
      <w:r>
        <w:rPr>
          <w:b/>
        </w:rPr>
        <w:t>E. 4.2.2</w:t>
      </w:r>
    </w:p>
    <w:p>
      <w:r>
        <w:t>Nachdem die Vorinstanz vor Erlass der vorliegend angefochtenen Nichteintretensverfügung vom 2. November 2016 darauf verzichtet hatte, den Bericht der Psychiaterin Dr. N._______ vom 28. Juli 2016 einem Facharzt oder einer Fachärztin für Psychiatrie und Psychotherapie zur Beurteilung vorzulegen, holte sie dies im Laufe des Beschwerdeverfahrens nach; der entsprechende Bericht von Dr. med. O._______ datiert vom 21. April 2017 (B-act. 18). Diese Fachärztin führte zusammengefasst aus, der psychiatrische Bericht vom 28. Juli 2016 nehme kurz Bezug zur spezifischen Vorgeschichte und beinhalte einen vollständigen Psychostatus. Gemäss den ICD-10-Kriterien liege eindeutig ein depressives Syndrom vor. Ein schweres Ausmass der bekannten rezidivierenden depressiven Störung lasse sich nicht eindeutig bestätigen, allerdings werde ein mittelgradiges Ausmass den Beschwerden gemäss der klinischen Schilderung auch nicht gerecht. Die Persönlichkeitsveränderung werde als weitere psychiatrische Diagnose genannt. In den vorangegangenen Beurteilungen finde sich diese Diagnose nicht durchgehend. Der von 2014 vorliegende psychopathologische Befund spreche für ein schweres Ausmass des depressiven Syndroms. Dem im Januar 2016 vom RAD festgestellten mittelgradigen Ausmass der depressiven Symptomatik könne somit nicht gefolgt werden. Nehme man das Gutachten von Dr. med. F._______ aus dem Jahr 2012, d.h. die Anamnese und vor allem den psychopathologischen Befund als Vergleich zu dem im Juli 2016 erhobenen Befund, müsse man von einer Verschlechterung des psychischen Zustands ausgehen. Die Schilderungen des Gesundheitszustands seien zudem sehr ähnlich zu den Befunden während des stationären Aufenthalts 2014, die für eine schwere depressive Episode gesprochen hätten. Eine nochmalige, ausführliche psychiatrische Begutachtung könnte unabhängig zum Gesundheitszustand des Versicherten Stellung nehmen. Allerdings habe das Ausmass der depressiven Störung mittlerweile fast nur noch akademischen Charakter. Zudem werde auch eine erneute Begutachtung hinsichtlich klinischer Einschätzung des Gesundheitszustands immer eine Momentaufnahme bleiben.</w:t>
      </w:r>
    </w:p>
    <w:p>
      <w:r>
        <w:rPr>
          <w:b/>
        </w:rPr>
        <w:t>E. 4.3.1</w:t>
      </w:r>
    </w:p>
    <w:p>
      <w:r>
        <w:t>Vorab ist festzuhalten, dass zwischen dem Datum der letzten rechtskräftigen Verfügung, welche auf einer rechtskonformen Ermittlung des medizinischen Sachverhalts beruhte, vom 5. Juni 2013 (vgl. hierzu E. 3 ff. hiervor) und der angefochtenen Nichteintretensverfügung vom 2. November 2016 mehr als drei Jahre vergangen waren. Vor diesem Hintergrund resp. mit Blick auf diese relativ lange Zeitspanne sind an das Glaubhaftmachen einer Änderung des rechtserheblichen Sachverhalts keine hohen Anforderungen zu stellen (vgl. E. 2.5 hiervor).</w:t>
      </w:r>
    </w:p>
    <w:p>
      <w:r>
        <w:rPr>
          <w:b/>
        </w:rPr>
        <w:t>E. 4.3.2</w:t>
      </w:r>
    </w:p>
    <w:p>
      <w:r>
        <w:t>Zwar lässt eine Diagnose für sich allein noch keinen Schluss auf die gesundheitlich bedingte Einschränkung in der Arbeitsfähigkeit zu (vgl. BGE 132 V 65 E. 3.4). Mit Blick auf die beiden zeitlichen Referenzpunkte (5. Juni 2013 und 2. November 2016; vgl. E. 3.3 hiervor) liegen beim Beschwerdeführer mit Blick auf den Bericht der Psychiaterin Dr. N._______ vom 28. Juli 2016 und insbesondere auch aufgrund der gewissenhaft vorgenommenen, überzeugenden und schlüssigen Beurteilung von Dr. med. O._______ genügend glaubhafte Hinweise für eine Verschlechterung des Gesundheitszustandes mit Auswirkungen auf die Arbeits- und Leistungsfähigkeit im relevanten Zeitraum vor. Dr. med. O._______ hielt explizit dafür, dass durch einen Vergleich des im Rahmen der Erstellung des Gutachtens von Dr. med. F._______ vorgelegenen psychopathologischen Befunds mit demjenigen vom Juli 2016 eine Verschlechterung des psychischen Zustands ausgewiesen sei.</w:t>
      </w:r>
    </w:p>
    <w:p>
      <w:r>
        <w:rPr>
          <w:b/>
        </w:rPr>
        <w:t>E. 4.3.3</w:t>
      </w:r>
    </w:p>
    <w:p>
      <w:r>
        <w:t>Unter diesen Umständen kann der Auffassung von Dr. med. L._______ in dessen Stellungnahmen vom 16. Juni 2016 (act. 444) und 20. Oktober 2016 (act. 455) selbst dann nicht gefolgt werden, wenn sich diese alleine auf die rein somatischen Beschwerden und deren Auswirkungen auf die Arbeits- und Erwerbsfähigkeit bezogen hätte, denn gemäss den Dres. med. E._______ und F._______ überdecken sich beim Beschwerdeführer die psychischen und somatischen Befunde teilweise (vgl. E. 4.1.3 hiervor).</w:t>
      </w:r>
    </w:p>
    <w:p>
      <w:r>
        <w:rPr>
          <w:b/>
        </w:rPr>
        <w:t>E. 5</w:t>
      </w:r>
    </w:p>
    <w:p>
      <w:r>
        <w:t>Aufgrund der vorstehenden Erwägungen ist zusammenfassend festzuhalten, dass die Vorinstanz auf die Neuanmeldung vom 3. Juni 2016 (act. 177 bis 178) hätte eintreten und die Sache materiell interdisziplinär (vgl. hierzu Urteile des BGer 8C_168/2008 vom 11. August 2008 E. 6.2.2 und 8C_189/ 2008 vom 4. Juli 2008 E.5 mit Hinweisen) und unter Beachtung der Standardindikatoren (vgl. hierzu BGE 141 V 281 sowie BGE 143 V 409 und 418) hätte prüfen müssen. Die Beschwerde ist deshalb, soweit darauf einzutreten ist (vgl. E. 1.4.2 hiervor), insofern gutzuheissen, als die angefochtene Verfügung vom 2. November 2016 aufzuheben und die Sache an die Vorinstanz zurückzuweisen ist (Art. 61 Abs. 1 VwVG) mit der Anweisung, auf die Neuanmeldung einzutreten, die Sache materiell zu prüfen und anschliessend neu zu verfügen.</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Da die angefochtene Verfügung aufgehoben und die Sache zwecks Eintretens an die Vorinstanz zurückgewiesen wird, ist auf die Erhebung von Verfahrenskosten zu verzichten. Dem Beschwerdeführer ist der geleistete Verfahrenskostenvorschuss von Fr. 800.- nach Eintritt der Rechtskraft des vorliegenden Urteils zurückzuerstatten. Der Vorinstanz werden ebenfalls keine Verfahrenskosten auferlegt (Art. 63 Abs. 2 VwVG).</w:t>
      </w:r>
    </w:p>
    <w:p>
      <w:r>
        <w:rPr>
          <w:b/>
        </w:rPr>
        <w:t>E. 6.2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Als Bundesbehörde hat die Vorinstanz jedoch selbst bei allfälligem Obsiegen keinen Anspruch auf Parteientschädigung (Art. 7 Abs. 3 VGKE). Da dem obsiegenden Beschwerdeführer, welcher nicht anwaltlich vertreten ist, keine unverhältnismässig hohen Kosten entstanden sind resp. er auch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