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C-7382/2006 vom 28. April 2008</w:t>
      </w:r>
    </w:p>
    <w:p>
      <w:r>
        <w:t>Bundesverwaltungsgericht, 2008-04-28, DE</w:t>
      </w:r>
    </w:p>
    <w:p>
      <w:r>
        <w:rPr>
          <w:b/>
        </w:rPr>
        <w:t xml:space="preserve">Quelle: </w:t>
      </w:r>
      <w:r>
        <w:t>https://mcp.opencaselaw.ch/entscheid/bvger_C-7382_2006</w:t>
      </w:r>
    </w:p>
    <w:p>
      <w:r>
        <w:t>FR: TAF C-7382/2006 du 28 avril 2008</w:t>
      </w:r>
    </w:p>
    <w:p>
      <w:r>
        <w:t>IT: TAF C-7382/2006 del 28 aprile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Zum Zeitpunkt des Inkrafttretens des Verwaltungsgerichtsgesetzes bereits beim EJPD hängige Rechtsmittelverfahren werden vom Bundesverwaltungsgericht übernommen. Die Beurteilung erfolgt nach neuem Verfahrensrecht (Art. 53 Abs. 2 VGG).</w:t>
      </w:r>
    </w:p>
    <w:p>
      <w:r>
        <w:rPr>
          <w:b/>
        </w:rPr>
        <w:t>E. 1.3</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1.4</w:t>
      </w:r>
    </w:p>
    <w:p>
      <w:r>
        <w:t>Die Beschwerdeführerin ist gemäss Art. 48 VwVG zur Beschwerde legitimiert; auf die frist- und formgerecht eingereichte Beschwerde ist einzutreten (Art. 49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Beurteilung erfolgt somit noch nach dem alten Recht. Einschlägig sind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w:t>
      </w:r>
    </w:p>
    <w:p>
      <w:r>
        <w:rPr>
          <w:b/>
        </w:rPr>
        <w:t>E. 4.1</w:t>
      </w:r>
    </w:p>
    <w:p>
      <w:r>
        <w:t>Die Gesuchstellerin bedarf aufgrund ihrer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Lage im Herkunftsland der Besucherin oder des Besuchers ergeben. Die parlamentarische Versammlung des Kosovo hat am 17. Februar 2008 die Unabhängigkeit des Kosovo erklärt. Am 27. Februar 2008 anerkannte die Schweiz den Kosovo. Wie jedoch die Staatengemeinschaft mit dieser neuen Lage umgehen wird, ist noch ungewiss. Aus wirtschaftlicher Sicht ist es trotz grosser internationaler Unterstützung bisher nicht gelungen, eine Wachstumsdynamik im Kosovo einzuleiten; es herrscht wirtschaftliche Stagnation und die Arbeitslosigkeit bleibt hartnäckig hoch. So sind mehr als die Hälfte der Erwerbsfähigen ohne oder zumindest ohne regelmässiges Einkommen. Gemäss World Bank Brief lag der Armutsanteil der Bevölkerung im Kosovo im Jahr 2005 bereits bei 37% (Tendenz steigend). Der Zuwanderungsdruck aus dieser Region ist dementsprechend hoch, was sich auch in der schweizerischen Asylstatistik widerspiegelt. So stammten im Jahre 2007 9.2% der Asylsuchenden aus Serbien (inklusive Kosovo) und diese Region steht damit in der Statistik der Asylgesuche nach Nationen an zweiter Stelle. Die Problematik liegt dabei nicht so sehr in der Tatsache, dass überhaupt Asylgesuche gestellt werden, als vielmehr darin, dass diese Gesuche regelmässig nicht aus dem Ausland, sondern nach illegaler oder sonst wie erwirkter Einreise in der Schweiz eingereicht werden. Umgehungsmechanismen sind aber auch insofern gang und gäbe, als nach erfolgter Einreise mit einem Visum, trotz gegenteiliger Zusicherungen, Verlängerungsgesuche gestellt werden oder versucht wird, den Aufenthalt auf eine ganz andere ausländerrechtliche Grundlage abzustützen.</w:t>
      </w:r>
    </w:p>
    <w:p>
      <w:r>
        <w:rPr>
          <w:b/>
        </w:rPr>
        <w:t>E. 4.4</w:t>
      </w:r>
    </w:p>
    <w:p>
      <w:r>
        <w:t>Die Beschwerdeführerin bringt in diesem Zusammenhang vor, es gehe nicht an, lediglich auf die schlechten Erfahrungen mit Personen aus dem Kosovo abzustellen, welche Touristen- oder Besuchervisa missbraucht hätten. Dazu ist klarzustellen, dass es in der Tat zu schematisch und nicht haltbar wäre, generell und ohne spezifische Anhaltspunkte, ausschliesslich aufgrund der politischen und/oder wirtschaftlichen Situation im Heimatland auf eine nicht hinreichend gesicherte Wiederausreise zu schliessen. Im Rahmen einer Gesamtwürdigung können jedoch aus der allgemeinen Lage im Herkunftsland und der Zuwanderungssituation Anhaltspunkte zur Beurteilung der fristgerechten Wiederausreise gewonnen werden. Die Berücksichtigung dieser Umstände ergibt sich somit implizit aus Art. 1 Abs. 2 Bst. c aVEA. So können insbesondere Einreisegesuche von Bürgerinnen und Bürgern aus Staaten bzw. Regionen mit politisch oder wirtschaftlich vergleichsweise ungünstigen Verhältnissen darauf hindeuten, dass die persönliche Interessenlage in solchen Fällen nicht mit dem Ziel und Zweck einer zeitlich befristeten Einreisebewilligung in Einklang steht.</w:t>
      </w:r>
    </w:p>
    <w:p>
      <w:r>
        <w:rPr>
          <w:b/>
        </w:rPr>
        <w:t>E. 4.5</w:t>
      </w:r>
    </w:p>
    <w:p>
      <w:r>
        <w:t>Bei der Risikoanalyse sind aber nicht nur solch allgemeine Umstände und Erfahrungen, sondern auch, wie oben erwähnt,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4.6</w:t>
      </w:r>
    </w:p>
    <w:p>
      <w:r>
        <w:t>Für die Feststellung des rechtserheblichen Sachverhalts gilt im Verwaltungsverfahren zwar grundsätzlich die Untersuchungsmaxime. Diese wird jedoch relativiert durch die Mitwirkungspflicht der Parteien (vgl. Art. 13 VwVG),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nicht mit vernünftigem Aufwand erheben können. Im vorliegenden Zusammenhang trifft das insbesondere auf die von der Beschwerdeführerin angerufenen Umstände - namentlich persönlicher Art - in ihrer Heimat zu; solche Tatsachen lassen sich erfahrungsgemäss von den schweizerischen Behörden, wenn überhaupt, nur mit erhöhtem Aufwand abklären (BGE 124 II 361 E. 2b S. 365, vgl. auch BGE 128 II 139 E. 2b S. 142 f.). Vorliegend wurde das erstinstanzliche Verfahren auf Antrag der Beschwerdeführerin eingeleitet. Dass der Gewähr für eine fristgerechte Wiederausreise grosse Bedeutung zukommt, liegt bei einem Einreisevisum zu Besuchszwecken in der Natur der Sache und muss nicht speziell hervorgehoben werden. Die Beschwerdeführerin hatte allen Anlass, ihre Verhältnisse möglichst vollständig offenzulegen und nach Möglichkeit auszuweisen. Die Vorinstanz stützte ihren anschliessenden negativen Entscheid denn auch auf die von der Beschwerdeführerin und ihrem Gastgeber eingereichten Unterlagen und Auskünfte ab. Dabei war jene insbesondere nicht gehalten, die Beschwerdeführerin vorgängig zur Einreichung besonderer Nachweise aufzufordern, welche eine anstandslose und fristgerechte Wiederausreise als wahrscheinlich erscheinen liessen (vgl. Urteil des Bundesverwaltungsgerichts C-778/2006 vom 9. Mai 2007 E. 1.5).</w:t>
      </w:r>
    </w:p>
    <w:p>
      <w:r>
        <w:rPr>
          <w:b/>
        </w:rPr>
        <w:t>E. 5.1</w:t>
      </w:r>
    </w:p>
    <w:p>
      <w:r>
        <w:t>Entgegen der Annahme der Vorinstanz (vgl. Vernehmlassung vom 10. Mai 2007) handelt es sich bei der mittlerweile 27-jährigen Beschwerdeführerin um eine verheiratete Frau, welche mit ihrem Ehemann und weiteren Angehörigen in Hausgemeinschaft lebt (vgl. UNMIK-Bestätigung vom 18. September 2006). Auf den ersten Blick könnte der Umstand, dass sie für die Dauer ihres Besuchsaufenthaltes in der Schweiz den Ehemann in der Heimat zurücklassen würde, durchaus für eine gewisse Verwurzelung sprechen. Andererseits zeigt die Erfahrung, dass zurückbleibende Angehörige gerade in Situationen angespannter wirtschaftlicher Verhältnisse nicht verlässlich davon abhalten können, den Entschluss für eine Emigration zu fällen. Im Gegenteil, der Entscheid kann dort von der Hoffnung getragen sein, die Angehörigen aus dem Ausland effizienter unterstützen und allenfalls später nachziehen zu können.</w:t>
      </w:r>
    </w:p>
    <w:p>
      <w:r>
        <w:rPr>
          <w:b/>
        </w:rPr>
        <w:t>E. 5.2</w:t>
      </w:r>
    </w:p>
    <w:p>
      <w:r>
        <w:t>Entsprechend grosse Bedeutung kommt deshalb den wirtschaftlichen Verhältnissen zu, in denen sich die Beschwerdeführerin befindet. Sie selber bezeichnete sich anlässlich der Gesuchseinreichung als arbeitslos (vgl. Ziff. 9 des persönlichen Einreisegesuches vom 29. September 2006). Der Gastgeber hielt gegenüber der kantonalen Migrationsbehörde ebenfalls schriftlich fest, seine Schwester sei im Heimatland nicht beschäftigt. Für die Annahme, die Beschwerdeführerin ginge in der Zwischenzeit im Kosovo einer geregelten Erwerbstätigkeit nach und sei nunmehr in der Arbeitswelt integriert, ergeben sich aus den Akten jedenfalls keine Anhaltspunkte. Die Beschwerdeführerin, die ihre Vermögensverhältnisse weder im vorinstanzlichen Verfahren noch auf Beschwerdeebene offen legte, macht denn auch nicht geltend, sie und ihr Ehemann lebten in wirtschaftlich günstigen Verhältnissen, die sie verlässlich von einer Emigration abzuhalten vermöchten. Vor diesem Hintergrund müssen die Vorbringen auf Beschwerdeebene, wonach genügend Garantien für eine fristgerechte Wiederausreise vorhanden seien, als nicht ausschlaggebend bezeichnet werden. Im Übrigen hegte auch die Schweizerische Vertretung in Pristina, welche mit den sozialen, wirtschaftlichen und politischen Verhältnissen im Herkunftsstaat der Beschwerdeführerin gut vertraut ist und sich somit durchaus ein Bild der Einreisewilligen machen kann, grosse Bedenken bezüglich der anstandslosen Wiederausreise und verweigerte formlos die Einreisebewilligung.</w:t>
      </w:r>
    </w:p>
    <w:p>
      <w:r>
        <w:rPr>
          <w:b/>
        </w:rPr>
        <w:t>E. 5.3</w:t>
      </w:r>
    </w:p>
    <w:p>
      <w:r>
        <w:t>Nach dem Gesagten durfte die Vorinstanz daher zu Recht davon ausgehen, die Wiederausreise der Beschwerdeführerin sei im Sinne der massgeblichen Bestimmungen nicht gesichert. Zwar lässt sich diese Einschätzung nicht zu einer gesicherten Feststellung verdichten; sie reicht aber aus, um die Erteilung eines Einreisevisums - auf das, wie erwähnt, kein Rechtsanspruch besteht - abzulehnen. Die Gastgeber können zwar für gewisse finanzielle Risiken im Zusammenhang mit dem Besuchsaufenthalt, nicht aber für ein bestimmtes Verhalten ihres Gastes garantieren; eine Garantie für die rechtzeitige Rückreise ist hingegen trotz bester und ehrlicher Absichten nicht möglich bzw. rechtlich nicht durchsetzbar (vgl. Urteil des Bundesverwaltungsgerichts C-2341/2006 vom 7. August 2007 E. 6).</w:t>
      </w:r>
    </w:p>
    <w:p>
      <w:r>
        <w:rPr>
          <w:b/>
        </w:rPr>
        <w:t>E. 5.4</w:t>
      </w:r>
    </w:p>
    <w:p>
      <w:r>
        <w:t>Soweit die Beschwerdeführerin vorbringt, weitere Geschwister von ihr seien nach einem Besuchsaufenthalt in der Schweiz fristgerecht in ihr Heimatland zurückgekehrt, gilt es darauf hinzuweisen, dass sich mangels näherer Angaben einerseits nicht eruieren lässt, unter welchen Umständen diesen Personen in der Vergangenheit ein Einreisevisum erteilt wurde. Anderseits weist jeder Einzelfall - wie vorliegend belegt - eine ihm eigene und spezifische Konstellation auf, so dass er nicht ohne weiteres mit anderen, angeblich gleich gelagerten Fällen verglichen werden kann.</w:t>
      </w:r>
    </w:p>
    <w:p>
      <w:r>
        <w:rPr>
          <w:b/>
        </w:rPr>
        <w:t>E. 6</w:t>
      </w:r>
    </w:p>
    <w:p>
      <w:r>
        <w:t>Der Vollständigkeit halber gilt es schliesslich darauf hinzuweisen, dass gemäss den gesetzlichen Bestimmungen die Ausländerin oder der Ausländer an den im Visum festgelegten Reise- und Aufenthaltszweck gebunden ist (vgl. Art. 11 Abs. 3 aVEA). Die Beschwerdeführerin betont ausdrücklich, der vorgesehene Aufenthalt in der Schweiz solle in erster Linie dazu dienen, die Schwägerin bei der Betreuung ihres nunmehr bald dreijährigen, aber offenbar mit ernsthaften gesundheitlichen Problemen kämpfenden Sohnes zu entlasten. Diesbezüglich ist festzuhalten, dass eine solche Tätigkeit, so nützlich sie für die Gastgeber wäre, mit einem Aufenthalt zu Besuchszwecken ohnehin nicht vereinbar wäre. Arbeitsleistungen in Haushalt und/oder Familie - auch wenn sie nur stunden- oder tageweise oder vorübergehend ausgeübt werden - gelten grundsätzlich als (bewilligungspflichtige) Erwerbstätigkeit. Dies selbst dann, wenn derartige Tätigkeiten bloss unentgeltlich, gegen ein Taschengeld oder gegen Kost und Logis erbracht würden (vgl. Art. 6 der Verordnung vom 6. Oktober 1986 über die Begrenzung der Zahl der Ausländer [aBVO], AS 1986 1791). Eine Ausnahme könnten allenfalls unentgeltliche Hilfeleistungen von nächsten Verwandten bilden. So hat das EJPD in einem Entscheid vom 22. September 1997 festgehalten (vgl. Verwaltungspraxis der Bundesbehörden [VPB] 63.37), dass eine ausländische Grossmutter, die in der Schweiz ihr Enkelkind hütet, keiner Erwerbstätigkeit nachgeht, obwohl das Kinderhüten grundsätzlich als Dienstleistung auf dem Arbeitsmarkt angeboten wird. Es stellte dabei im Wesentlichen auf das arbeitsmarktfremde Kriterium ab, dass die Betreuungsdienste einer Grossmutter wegen der verwandtschaftlichen und emotionalen Nähe zu den Enkelkindern nicht durch eine Drittperson ersetzt werden könnte, ohne dass der besondere Charakter der Tätigkeit verloren ginge. Die Frage, ob Betreuungsdienste, welche - wie im vorliegenden Fall - durch eine Tante geleistet würden, ebenfalls keine (bewilligungspflichtige) Erwerbstätigkeit darstellen würden, braucht hingegen nicht eingehend geklärt zu werden, da die Beschwerde bereits aus den obgenannten Gründen (nicht hinreichend gesicherte Wiederausreise) abzuweisen ist.</w:t>
      </w:r>
    </w:p>
    <w:p>
      <w:r>
        <w:rPr>
          <w:b/>
        </w:rPr>
        <w:t>E. 7</w:t>
      </w:r>
    </w:p>
    <w:p>
      <w:r>
        <w:t>Aus diesen Gründen ist somit nicht zu beanstanden, dass die Vorinstanz das öffentliche Interesse sowie die Beachtung der geltenden Bestimmungen entsprechend gewichtete und der Beschwerdeführerin die Einreise verweigerte. Die angefochtene Verfügung ist somit im Ergebnis rechtmässig (Art. 49 VwVG). Die Beschwerde ist demzufolge abzuweisen.</w:t>
      </w:r>
    </w:p>
    <w:p>
      <w:r>
        <w:rPr>
          <w:b/>
        </w:rPr>
        <w:t>E. 8</w:t>
      </w:r>
    </w:p>
    <w:p>
      <w:r>
        <w:t>Dem Ausgang des Verfahrens entsprechend wird die unterliegende Beschwerdeführerin kostenpflichtig (Art. 63 Abs. 1 VwVG). Die Verfahrenskosten sind auf Fr. 600.- festzusetzen (Art. 1, Art. 2 und Art. 3 Bst. b des Reglements vom 11. Dezember 2006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