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C-7348/2014 vom 30. Juni 2015</w:t>
      </w:r>
    </w:p>
    <w:p>
      <w:r>
        <w:t>Bundesverwaltungsgericht, 2015-06-30, FR</w:t>
      </w:r>
    </w:p>
    <w:p>
      <w:r>
        <w:rPr>
          <w:b/>
        </w:rPr>
        <w:t xml:space="preserve">Quelle: </w:t>
      </w:r>
      <w:r>
        <w:t>https://mcp.opencaselaw.ch/entscheid/bvger_C-7348_2014</w:t>
      </w:r>
    </w:p>
    <w:p>
      <w:r>
        <w:t>FR: TAF C-7348/2014 du 30 juin 2015</w:t>
      </w:r>
    </w:p>
    <w:p>
      <w:r>
        <w:t>IT: TAF C-7348/2014 del 30 giugno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B._______ et C._______,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qu'il est un ressortissant du Royaume du Maroc, A._______ est soumis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l'ODM a refusé d'autoriser l'entrée en Suisse de A._______ au motif que son départ à l'échéance du visa sollicité n'apparaissait pas suffisamment assuré.</w:t>
      </w:r>
    </w:p>
    <w:p>
      <w:r>
        <w:rPr>
          <w:b/>
        </w:rPr>
        <w:t>E. 6.1</w:t>
      </w:r>
    </w:p>
    <w:p>
      <w:r>
        <w:t>In casu, le Tribunal ne saurait d'emblée écarter les craintes émises par l'autorité inti­mée, du fait notamment de la situation qui prévaut au Maroc sur le plan social et économique. Il convient en effet de prendre en considération la qualité de vie et les conditions économiques et sociales difficiles que connaît l'ensemble de la population au Maroc. S'agissant de la situation économique, le Tribunal constate que le produit intérieur brut (PIB) par habitant en 2013 s'élevait à environ USD 3'160 pour le Maroc et à environ USD 85'317 pour la Suisse (voir le site internet du Fonds monétaire international: www.imf.org &gt; Data and Statistics &gt; World Economic Outlook Databases (WEO) &gt; World Economic Outlook Databases April 2015 &gt; By Countries (country-level data) &gt; All countries, consulté en avril 2015). En effet, malgré les réformes initiées ces dernières années par le gouvernement pour lutter contre la pauvreté et le sous-emploi, l'économie marocaine reste fragile et tributaire des résultats agricoles ainsi que de la demande mondiale (cf. Ministère français des affaires étrangères, France Diplomatie, http://www.diplomatie.gouv.fr, Présentation du Maroc &gt; Données générales, mise à jour le 5 mars 2015, consulté en juin 2015). Du point de vue social, l'indice de développement humain (IDH) 2013, qui prend en compte la santé, l'éducation et le niveau de vie, classe le Maroc en 129ème position sur 187 pays, la Suisse occupant le troisième rang pour la même année (voir le site internet des rapports sur le développement humain du Programme des Nations Unies pour le développement [HDR UNDP]: http//hdr.undp.org &gt; Human Development Report 2014, consulté en juin 2015).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C-2942/2013 du 17 février 2014 consid. 5.2, et réf. citées).</w:t>
      </w:r>
    </w:p>
    <w:p>
      <w:r>
        <w:rPr>
          <w:b/>
        </w:rPr>
        <w:t>E. 6.2</w:t>
      </w:r>
    </w:p>
    <w:p>
      <w:r>
        <w:t>Il convient dès lors d'examiner si, en l'état, la situation personnelle, familiale, professionnelle et patrimoniale de A._______ plaide en faveur de sa sortie ponctuelle respectivement de Suisse et de l'Espace Schengen, à l'expiration de son visa, compte tenu par ailleurs du but du séjour qu'il envisage d'effectuer en Suisse.</w:t>
      </w:r>
    </w:p>
    <w:p>
      <w:r>
        <w:rPr>
          <w:b/>
        </w:rPr>
        <w:t>E. 6.2.1</w:t>
      </w:r>
    </w:p>
    <w:p>
      <w:r>
        <w:t>En l'occurrence, il ressort des renseignements qui ont été communiqués aux autorités suisses que le prénommé, célibataire, âgé de près de 30 ans, souffre d'autisme sévère. Il ne peut exercer d'activité professionnelle, touche une pension d'invalidité du Royaume du Maroc, dont le montant n'est pas précisé, et vit chez ses parents qui le prennent en charge. Il est au demeurant suivi régulièrement par son médecin traitant. Cela étant, même si l'intéressé dispose certes d'attaches familiales importantes dans son pays d'origine, dans la mesure où il partage son quotidien avec ses parents qui le prennent en charge (cf. recours du 17 décembre 2014 p. 9), de tels liens ne sauraient pour autant, compte tenu de l'état de santé du prénommé et dans le contexte socio-économique dans lequel se trouve le Maroc, suffire, à eux seuls à garantir le retour de l'intéressé dans cet Etat au terme du séjour projeté. En effet, il convient d'admettre, au vu de l'expérience générale, que de telles attaches sont parfois insuffisantes pour inciter une personne à retourner dans sa patrie et, souvent, ne l'emportent pas sur la perspective d'une situation plus favorable en Suisse. Cette analyse s'impose d'autant plus qu'au Maroc, A._______ est uniquement pris en charge par sa famille et suivi par un neurologue, alors qu'en Suisse, une personne souffrant d'autisme sévère, peut en parallèle à son milieu familial, bénéficier d'une structure d'accueil, où des mesures éducatives et un travail sensoriel conséquent adapté à ce type d'infirmité sont mises en place, afin de lui permettre de progresser. Dans ces circonstances et compte tenu des possibilités offertes en Suisse, en particulier sur le plan des infrastructures médicales, les autorités helvétiques ne peuvent totalement exclure que l'intéressé ne s'efforce, durant son séjour en ce pays et malgré les assurances contraires qui ont été données dans le cadre du recours, de prolonger son séjour dans le but précité. Cette hypothèse peut en l'espèce être d'autant moins écartée que A._______ dispose en Suisse d'un réseau familial bien établi, son frère aîné et sa belle-soeur, qui sont également à même de le prendre en charge et de suppléer à la présence de ses parents. En outre, il y a lieu de relever que le prénommé avait, dans un premier temps, prévu de séjourner durant un mois en Suisse (cf. demande d'entrée du 15 septembre 2014), soit une période relativement longue pour une personne vivant en situation de dépendance par rapport à ses proches, et que ce n'est que dans la procédure d'opposition que la durée du séjour projeté a été réduite à quinze jours (cf. opposition du 15 octobre 2014 et nouvelle demande de visa Schengen du 10 octobre 2014), ce qui laisse à penser que les liens du requérant avec son pays ne sont pas aussi forts qu'allégué et conforte les doutes formulés par les autorités helvétiques sur l'effectivité de son départ de Suisse à l'échéance du visa requis.</w:t>
      </w:r>
    </w:p>
    <w:p>
      <w:r>
        <w:rPr>
          <w:b/>
        </w:rPr>
        <w:t>E. 6.2.2</w:t>
      </w:r>
    </w:p>
    <w:p>
      <w:r>
        <w:t>Enfin, le fait que A._______ perçoive des prestations sociales du Royaume du Maroc en raison de son invalidité n'est pas davantage susceptible de représenter un facteur déterminant dans l'appréciation du cas. Il ne faut pas en effet perdre de vue que la Suisse connaît un niveau de vie supérieur à celui du Maroc. Dans ce contexte, outre le fait que le montant des prestations sociales n'est pas connu, l'on ne décèle aucun élément dans le dossier permettant de conclure que la situation matérielle de l'intéressé se trouverait péjorée s'il prenait, avec ses représentants, la décision de demeurer sur le territoire helvétique à l'expiration de son visa dans le but d'y bénéficier d'un encadrement spécialisé.</w:t>
      </w:r>
    </w:p>
    <w:p>
      <w:r>
        <w:rPr>
          <w:b/>
        </w:rPr>
        <w:t>E. 7</w:t>
      </w:r>
    </w:p>
    <w:p>
      <w:r>
        <w:t>B._______ et C._______ insistent dans leur pourvoi sur le fait qu'ils se portent garants de leur invité. Assurément, le Tribunal n'entend nullement mettre en doute la bonne foi ou la droiture des prénommés. Il sied à ce sujet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Toutefois, les assurances données en la matière, comme celles formulées notamment sur le plan financier, ne sont qu'un des éléments pris en compte pour se prononcer sur la question de savoir si un visa peut être accordé au ressortissant étranger qui le sollicite; elles ne peuvent être tenues pour décisives, dans la mesure où elles n'engagent pas le requérant lui-même et ses représentants - ceux-ci conservant seuls la maîtrise de leur comportement - et ne permettent nullement d'exclure l'éventualité que l'intéressé, une fois en Suisse, ne tente d'y poursuivre durablement son existence. De même, l'intention que peut manifester une personne ou en l'occurrence ses représentants, de retourner dans son pays à l'issue de son séjour, voire l'engagement formel à le faire (cf. déclaration des parents de A._______ du 25 octobre 2014), n'ont aucune force juridique (cf. ATAF 2009/27 consid. 9) et ne suffisent pas non plus à garantir que le départ interviendra dans les délais prévus.</w:t>
      </w:r>
    </w:p>
    <w:p>
      <w:r>
        <w:rPr>
          <w:b/>
        </w:rPr>
        <w:t>E. 8.1</w:t>
      </w:r>
    </w:p>
    <w:p>
      <w:r>
        <w:t>Au demeurant, il convient encore de relever qu'un refus d'auto­risation d'entrée en Suisse prononcé par les autorités helvétiques n'a pas en l'occurrence pour conséquence d'empêcher tant le prénommé que les membres de sa famille vivant en Suisse de se voir, ces der­niers pouvant tout aussi bien se rencontrer hors de Suisse, notamment au Maroc.</w:t>
      </w:r>
    </w:p>
    <w:p>
      <w:r>
        <w:rPr>
          <w:b/>
        </w:rPr>
        <w:t>E. 8.2</w:t>
      </w:r>
    </w:p>
    <w:p>
      <w:r>
        <w:t>Par ailleurs, les recourants n'ont pas invoqué de motifs susceptibles de justifier la délivrance en faveur du prénommé d'un visa à validité territoriale limitée (visa VTL; cf. consid. 4.2 supra).</w:t>
      </w:r>
    </w:p>
    <w:p>
      <w:r>
        <w:rPr>
          <w:b/>
        </w:rPr>
        <w:t>E. 9</w:t>
      </w:r>
    </w:p>
    <w:p>
      <w:r>
        <w:t>Sans pour autant minimiser l'importance des raisons d'ordre affectif qui motivent la demande, le Tribunal ne saurait admettre, au vu de l'ensemble des éléments du dossier, que le retour de A._______ dans sa patrie au terme de l'autorisation requise puisse être considéré comme suffisamment garanti. Les conditions d'entrée prévues par le code frontières Schengen concernant la garantie que l'intéressé quittera la Suisse dans le délai fixé n'étant pas remplies in casu, c'est donc de manière fondée que l'autorité inférieure a écarté l'opposition du 15 octobre 2014 et confirmé le refus d'octroyer à l'intéressé une autorisation d'entrée dans l'Espace Schengen.</w:t>
      </w:r>
    </w:p>
    <w:p>
      <w:r>
        <w:rPr>
          <w:b/>
        </w:rPr>
        <w:t>E. 10</w:t>
      </w:r>
    </w:p>
    <w:p>
      <w:r>
        <w:t>En conséquence, le Tribunal est amené à conclure que la décision querellée est conforme au droit (art. 49 PA). Partant, le recours doit être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