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C-7335/2015 vom 26. Mai 2016</w:t>
      </w:r>
    </w:p>
    <w:p>
      <w:r>
        <w:t>Bundesverwaltungsgericht, 2016-05-26, DE</w:t>
      </w:r>
    </w:p>
    <w:p>
      <w:r>
        <w:rPr>
          <w:b/>
        </w:rPr>
        <w:t xml:space="preserve">Quelle: </w:t>
      </w:r>
      <w:r>
        <w:t>https://mcp.opencaselaw.ch/entscheid/bvger_C-7335_2015</w:t>
      </w:r>
    </w:p>
    <w:p>
      <w:r>
        <w:t>FR: TAF C-7335/2015 du 26 mai 2016</w:t>
      </w:r>
    </w:p>
    <w:p>
      <w:r>
        <w:t>IT: TAF C-7335/2015 del 26 maggio 2016</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Die Beschwerdeführenden sind gemäss Art. 48 Abs. 1 VwVG zur Beschwerde berechtigt. Auf die im Übrigen frist- und formgerecht eingereichte Beschwerde ist einzutreten (vgl. Art. 50 und 52 VwVG).</w:t>
      </w:r>
    </w:p>
    <w:p>
      <w:r>
        <w:rPr>
          <w:b/>
        </w:rPr>
        <w:t>E. 1.3</w:t>
      </w:r>
    </w:p>
    <w:p>
      <w:r>
        <w:t>Das Bundesverwaltungsgericht entscheidet in der vorliegenden Angelegenheit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angefochtenen Verfügung liegen zwei Gesuche von sri-lankischen Staatsangehörigen um Erteilung von Visa für einen einmonatigen Aufenthalt in der Schweiz zugrunde. Da sich die Gesuchsteller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die Einreise und die Erteilung bzw. Verweigerung eines Visums aufstellt und die Mitgliedstaaten verpflichtet, die Einreise bzw. das Visum zu verweigern, wenn die Voraussetzungen nicht erfüllt sind. Einen Anspruch auf Einreise bzw. Visum vermittelt jedoch auch das Schengen-Recht nicht (vgl. BVGE 2014/1 E. 4.1.4 und 4.1.5).</w:t>
      </w:r>
    </w:p>
    <w:p>
      <w:r>
        <w:rPr>
          <w:b/>
        </w:rPr>
        <w:t>E. 5</w:t>
      </w:r>
    </w:p>
    <w:p>
      <w:r>
        <w:t>5.1 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 März 2016)], Art. 4 VEV).</w:t>
      </w:r>
    </w:p>
    <w:p>
      <w:r>
        <w:rPr>
          <w:b/>
        </w:rPr>
        <w:t>E. 5.2</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5.3</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5.4</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Aufgrund ihrer sri-lankischen Staatszugehörigkeit unterliegen die Gesuchsteller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 als nicht genügend gesichert.</w:t>
      </w:r>
    </w:p>
    <w:p>
      <w:r>
        <w:rPr>
          <w:b/>
        </w:rPr>
        <w:t>E. 6.2</w:t>
      </w:r>
    </w:p>
    <w:p>
      <w:r>
        <w:t>Anhaltspunkte zur Beurteilung einer Gewähr für die fristgerechte und anstandslose Wiederausreise können sich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(siehe BVGE 2014/1 E. 6.1 m.H.).</w:t>
      </w:r>
    </w:p>
    <w:p>
      <w:r>
        <w:rPr>
          <w:b/>
        </w:rPr>
        <w:t>E. 6.3</w:t>
      </w:r>
    </w:p>
    <w:p>
      <w:r>
        <w:t>Das politische Klima in Sri Lanka hat sich seit Jahresbeginn 2015 grundlegend gewandelt. Zugleich ist der Weg zu dauerhaftem Frieden und Stabilität jedoch noch weit. In wirtschaftlicher Hinsicht gilt Sri Lanka als "lower middle-income country" (Land mit unterem mittlerem Einkommensniveau). Im UN-Index der menschlichen Entwicklung (HDI 2014) belegt Sri Lanka Position 73 von 188 Ländern. Der Anteil der Armen hat sich in den vergangenen Jahren zwar deutlich verringert. 2013 lebten 6,7 Prozent der Bevölkerung unterhalb der nationalen Armutsgrenze. 2002 hatte die Quote noch bei 22,7 Prozent gelegen. Allerdings sind die Einkommen zwischen Stadt- und Landbevölkerung und zwischen den Regionen sehr ungleich verteilt. Ein Grossteil der Wirtschaftsleistung des Landes konzentriert sich auf die Region um die Hauptstadt Colombo. Im zentralen Hochland und in den ehemaligen Bürgerkriegsgebieten im Norden und Nordosten Sri Lankas - woher auch die Gesuchsteller stammen (E._______ [Distrikt Kilinochchi, Nordprovinz]; vgl. SEM-pag. 169 ff.) - leben dagegen viele Menschen am Existenzminimum. Es ist daher noch immer eine anhaltend hohe Emigration vorhanden (vgl. zum Ganzen: Bundesministerium für wirtschaftliche Zusammenarbeit und Entwicklung, http://www.bmz.de Länder Asien Sri Lanka Zusammenarbeit Situation und Zusammenarbeit, abgerufen im Mai 2016).</w:t>
      </w:r>
    </w:p>
    <w:p>
      <w:r>
        <w:rPr>
          <w:b/>
        </w:rPr>
        <w:t>E. 6.4</w:t>
      </w:r>
    </w:p>
    <w:p>
      <w:r>
        <w:t>Aufgrund der wirtschaftlichen Situation der Gesuchsteller ist die Wahrscheinlichkeit, dass sie in der Schweiz ansässig werden könnten, eher gering. Die Gäste erfüllen zudem keineswegs das Risikoprofil von asylsuchenden sri-lankischen Staatsangehörigen (vgl. nachfolgende Erwägungen).</w:t>
      </w:r>
    </w:p>
    <w:p>
      <w:r>
        <w:rPr>
          <w:b/>
        </w:rPr>
        <w:t>E. 6.5</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Hingegen muss bei Personen, die in ihrer Heimat keine besonderen Verpflichtungen haben, das Risiko eines ausländerrechtlich nicht regelkonformen Verhaltens nach einer bewilligten Einreise als hoch eingeschätzt werden. 7.7.1 Bei den Gesuchtellern handelt es sich um eine 38-jährige Ehefrau und Mutter sowie deren zwölfjährige Tochter (SEM-pag. 155 ff.). Die Mutter hat ein weiteres Kind im Alter von sechs Jahren und ist seit dem 17. Januar 2011 als Lehrerin am "X._______ College" in D._______ tätig (SEM-pag. 139 ff. und 186 f.). Sie verdient monatlich netto ca. rund Rs. 33'033.- (USD 226.-; SEM-pag. 183 ff.). Der Ehemann der Gesuchstellerin betreibt eine Reismühle in E.______ im Distrikt Kilinochchi (SEM-pag. 177 ff.). Er soll monatlich ca. Rs. 200'000.- (USD 1'369.-) verdienen und die Reismühle seit 2003 betreiben (SEM-pag. 178). Zusammen verfügen sie somit über ein Jahreseinkommen von ca. USD 19'140.- Angesichts eines durchschnittlichen Jahreseinkommens von USD 3'440.- in Sri Lanka (The World Bank, Data, GNI per capita, Atlas method (current US$), Sri Lanka, http://data.worldbank.org/indicator/NY.GNP.PCAP.CD , abgerufen im Mai 2016), verfügt die Familie über ein überdurchschnittlich hohes Einkommen. Des Weiteren betrug der Kontostand der Gesuchstellerin gemäss Bestätigung der People's Bank in E._______ am 26. Juni 2015 Rs. 62'599.69 (USD 429.-, SEM-pag. 165). Die Tochter der Gesuchstellerin besass bei derselben Bank zum gleichen Zeitpunkt Rs. 118'762.95 (USD 813.-, SEM-pag. 164). Bei der Bank of Ceylon besass die Gesuchstellerin am 24. Juni 2015 Rs. 91'847.04 (USD 628.-, vgl. SEM-pag. 86 ff. und 163). Überdies ist sie Eigentümerin von Land im Wert von insgesamt Rs. 600'000.- (USD 4'108.-, SEM-pag. 162 ff.). Aufgrund dieser Ausführungen kann von einer guten wirtschaftlichen Absicherung der Gesuchsteller ausgegangen werden. Sie leben in Sri-Lanka in gut situierten Verhältnissen. Die Vorinstanz hat es jedoch sowohl vor Erlass ihrer Verfügung wie auch in ihrer Vernehmlassung unterlassen, auf den dargestellten Sachverhalt einzugehen. 7.2 Des Weiteren beantragten die Gesuchsteller die Visa im Hinblick auf die Schulferien im Sommer 2015, weil die Gesuchstellerin dann nicht hätte arbeiten müssen und ihre Tochter hätte mitreisen können (BVGer-act. 1 Beilage A-7). Das "Y._______ College" hat der Tochter eine Bewilligung für den Besuch der Schweiz in den Ferien vom 1. bis 30. August 2015 ausgestellt (SEM-pag. 180). Auch die Gesuchstellerin erhielt von der zuständigen Behörde ("Ministry of Education, Cultural Affairs, Sport &amp; Youth Affairs") in Jaffna eine Bewilligung, sich vom 1. bis zum 30. August 2015 in der Schweiz aufhalten zu dürfen (SEM-pag. 184). Diese Tatsachen sowie die kurze Dauer des beantragten Aufenthalts sprechen ebenfalls für eine gesicherte Wiederausreise der Gesuchsteller. Ausserdem wurden lediglich für die Gesuchsteller (Mutter und Tochter) Visa beantragt, weil im Jahr 2006 ein Gesuch um Bewilligung der Einreise für die gesamte Familie abgewiesen worden war (SEM-pag. 40 f., 113 und 232). 8.Aus vorstehenden Erwägungen ergibt sich, dass in casu keine Hinderungsgründe im Sinne von Art. 5 SGK bzw. Art. 5 AuG erkennbar sind. Demzufolge ist festzu­stellen, dass die ange­fochtene Verfügung den rechtserheblichen Sach­verhalt unrichtig respektive unvollständig festhält und in fehler­hafter Aus­übung des Er­messens ergangen ist (Art. 49 Bst. a und b VwVG). Die Be­schwerde ist daher gutzuheissen, die angefochtene Verfügung auf­zuheben und die Vorinstanz anzuweisen, die Visa zu erteilen, sofern die übrigen Einreisevoraussetzungen (vgl. E. 4 und 5) erfüllt sind. 9.Bei diesem Ausgang des Verfahrens sind keine Kosten aufzuerlegen (Art. 63 Abs. 1 und 2 VwVG) und der geleistete Kosten­vorschuss ist zurückzuerstatten. 10.Die Beschwerdeführerenden haben gemäss Art. 64 Abs. 1 VwVG Anrecht auf eine Parteientschädigung für die ihnen erwachsenen notwendigen Kosten (vgl. auch Art. 7 ff. des Reglements vom 21. Februar 2008 über die Kosten und Entschädigungen vor dem Bundesverwaltungsgericht [VGKE, SR 173.320.2]). Von einer solchen kann abgesehen werden, wenn die Kosten verhältnismässig gering sind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