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C-7332/2014 vom 15. Juni 2016</w:t>
      </w:r>
    </w:p>
    <w:p>
      <w:r>
        <w:t>Bundesverwaltungsgericht, 2016-06-15, IT</w:t>
      </w:r>
    </w:p>
    <w:p>
      <w:r>
        <w:rPr>
          <w:b/>
        </w:rPr>
        <w:t xml:space="preserve">Quelle: </w:t>
      </w:r>
      <w:r>
        <w:t>https://mcp.opencaselaw.ch/entscheid/bvger_C-7332_2014</w:t>
      </w:r>
    </w:p>
    <w:p>
      <w:r>
        <w:t>FR: TAF C-7332/2014 du 15 juin 2016</w:t>
      </w:r>
    </w:p>
    <w:p>
      <w:r>
        <w:t>IT: TAF C-7332/2014 del 15 giugno 2016</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agli art. 33 e 34 LTAF.</w:t>
      </w:r>
    </w:p>
    <w:p>
      <w:r>
        <w:rPr>
          <w:b/>
        </w:rPr>
        <w:t>E. 1.2</w:t>
      </w:r>
    </w:p>
    <w:p>
      <w:r>
        <w:t>In particolare, le decisioni in materia di divieto d'entrata in Svizzera rese dalla SEM - la quale costituisce un'unità dell'amministrazione federale come definita all'art. 33 lett. d LTAF - possono essere impugnate dinanzi al Tribunale che nella presente fattispecie giudica quale autorità di grado inferiore al Tribunale federale (art. 1 cpv. 2 LTAF in relazione con l'art. 11 par. 1 e 3 ALC; cfr. sentenza del TF 2C_1092/2013 del 4 luglio 2014 consid. 1.1 con rinvii).</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Giusta l'art. 67 cpv. 1 lett. a LStr (RS 142.20), fatto salvo il cpv. 5, la SEM vieta l'entrata in Svizzera ad uno straniero allontanato se, l'allontanamento è eseguito immediatamente in virtù dell'articolo 64d capoverso 2 lettere a-c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Nell'ottica del diritto interno, l'art. 96 cpv. 1 LStr prescrive che, nell'esercizio del loro potere discrezionale, le autorità competenti tengano conto degli interessi pubblici e della situazione personale nonché del grado d'integrazione dello straniero.</w:t>
      </w:r>
    </w:p>
    <w:p>
      <w:r>
        <w:rPr>
          <w:b/>
        </w:rPr>
        <w:t>E. 3.2</w:t>
      </w:r>
    </w:p>
    <w:p>
      <w:r>
        <w:t>In merito alle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LStr, FF 2002 3327, pag. 3424).</w:t>
      </w:r>
    </w:p>
    <w:p>
      <w:r>
        <w:rPr>
          <w:b/>
        </w:rPr>
        <w:t>E. 3.3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4.1</w:t>
      </w:r>
    </w:p>
    <w:p>
      <w:r>
        <w:t>Per coloro i quali vi si possono lecitamente richiamare e nella misura in cui contenga disposizioni derogatorie più favorevoli, determinante è inoltre l'ALC. In base all'ALC, le parti contraenti ammettono nel rispettivo territorio i cittadini dell'altra parte contraente e i membri della loro famiglia ai sensi dell'art. 3 cpv. 2 allegato I dietro semplice presentazione di una carta d'identità o di un passaporto validi (art. 1 cpv. 1 allegato I in relazione con l'art. 3 ALC); tale diritto può essere limitato solo da misure giustificate da motivi di ordine pubblico, pubblica sicurezza e pubblica sanità (art. 5 cpv. 1 allegato I ALC).</w:t>
      </w:r>
    </w:p>
    <w:p>
      <w:r>
        <w:rPr>
          <w:b/>
        </w:rPr>
        <w:t>E. 4.2</w:t>
      </w:r>
    </w:p>
    <w:p>
      <w:r>
        <w:t>Secondo la giurisprudenza, che si orienta alla direttiva 64/221/CEE del 25 febbraio 1964 ed alla prassi della Corte di giustizia dell'Unione europea ad essa relativa (art. 5 cpv. 2 allegato I ALC), l'adozione di misure d'allontanamento presuppone, al di là della turbativa insita in ogni violazione di legge, la sussistenza di una minaccia effettiva e sufficientemente grave dell'ordine pubblico da parte della persona che ne è toccata. Per «misura» va inteso, ai sensi dell'art. 5 cpv. 1 Allegato I ALC e della direttiva 64/221/CEE, ogni atto che ha delle ripercussioni sul diritto di ingresso e di soggiorno (DTF 130 II 176 consid. 3.1 e rinvii). Le deroghe alla libera circolazione vanno quindi interpretate in modo restrittivo (sentenze della CGCE del 27 ottobre 1977 nella causa 30-77 Bouchereau, Racc. 1977 pag. 1999 punti 33-35 e del 19 gennaio 1999 nella causa C-348/96 Calfa, Racc. 1999 I-11 punti 23 e 25).</w:t>
      </w:r>
    </w:p>
    <w:p>
      <w:r>
        <w:rPr>
          <w:b/>
        </w:rPr>
        <w:t>E. 4.3</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(DTF 139 II 121 consid. 5.3; 136 II 5 consid. 4.2 e la giurisprudenza ivi citata; cfr. inoltre la sentenza del TF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130 II 176 consid. 3.4.1 con riferimenti; sentenze del TF 2C_436/2014 del 29 ottobre 2014 consid. 3.3; 2C_139/2014 del 4 luglio 2014 consid. 4.3; 2C_565/2013 del 6 dicembre 2013 consid. 3.5; 2C_579/2013 del 15 novembre 2013 consid. 2.3 e 2C_260/2013 dell'8 luglio 2013 consid. 4.1).</w:t>
      </w:r>
    </w:p>
    <w:p>
      <w:r>
        <w:rPr>
          <w:b/>
        </w:rPr>
        <w:t>E. 4.4</w:t>
      </w:r>
    </w:p>
    <w:p>
      <w:r>
        <w:t>Inoltre 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(DTF 136 II 5 consid. 4.2; 134 II 25 consid. 4.3.2 e 130 II 493 consid. 3.3 e riferimenti ivi citati).</w:t>
      </w:r>
    </w:p>
    <w:p>
      <w:r>
        <w:rPr>
          <w:b/>
        </w:rPr>
        <w:t>E. 4.5</w:t>
      </w:r>
    </w:p>
    <w:p>
      <w:r>
        <w:t>Ne discende che, affinché un cittadino di uno Stato membro dell'ALC possa essere oggetto di una decisione di divieto d'entrata in Svizzera ai sensi dell'art. 67 cpv. 2 lett. a LStr, occorre che egli rappresenti una minaccia di una certa gravità per l'ordine e la sicurezza pubblici atta a privarlo del diritto di entrare in territorio elvetico ai sensi dell'art. 5 Allegato I ALC. Inoltre, come nel caso di qualsiasi altro cittadino straniero, l'esame deve essere effettuato tenendo presente le garanzie derivanti dalla CEDU così come del principio della proporzionalità (DTF 131 II 352 consid. 3.3 e numerosi rinvii).</w:t>
      </w:r>
    </w:p>
    <w:p>
      <w:r>
        <w:rPr>
          <w:b/>
        </w:rPr>
        <w:t>E. 5.1</w:t>
      </w:r>
    </w:p>
    <w:p>
      <w:r>
        <w:t>Il ricorrente è in casu di nazionalità libanese ed italiana, di conseguenza nella valutazione della presente causa è necessario tenere conto delle disposizioni dell'ALC. La LStr è applicabile solo se detto accordo non contiene disposizioni derogatorie o se la legge precitata prevede disposizioni più favorevoli (art. 2 cpv. 2 LStr).</w:t>
      </w:r>
    </w:p>
    <w:p>
      <w:r>
        <w:rPr>
          <w:b/>
        </w:rPr>
        <w:t>E. 5.2</w:t>
      </w:r>
    </w:p>
    <w:p>
      <w:r>
        <w:t>L'art. 67 cpv. 3 2a frase LStr permette alla SEM di pronunciare un divieto d'entrata per una durata maggiore ai cinque anni, se l'interessato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w:t>
      </w:r>
    </w:p>
    <w:p>
      <w:r>
        <w:rPr>
          <w:b/>
        </w:rPr>
        <w:t>E. 5.3</w:t>
      </w:r>
    </w:p>
    <w:p>
      <w:r>
        <w:t>Poiché la LStr non opera alcuna distinzione tra cittadini di Stati ALC e Stati terzi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terzi (membri ALC o meno).</w:t>
      </w:r>
    </w:p>
    <w:p>
      <w:r>
        <w:rPr>
          <w:b/>
        </w:rPr>
        <w:t>E. 5.4</w:t>
      </w:r>
    </w:p>
    <w:p>
      <w:r>
        <w:t>A tal proposito la recente giurisprudenza ha stabilito che la nozione di «pericolo grave» richiede un grado di gravità maggiore al «semplice» pericolo o minaccia all'ordine e la sicurezza pubblici (art. 67 cpv. 2 lett. a LStr), ma anche maggiore alla nozione di «pericolo di una certa gravità», necessaria per pronunciare un divieto d'entrata per un cittadino di uno stato ALC. Operando un raffronto con la nozione di «pericolo di una certa gravità» dell'art. 5 allegato 1 ALC (cfr. per una casistica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esaminato in concreto, sulla base degli atti di causa (cfr. Marc Spescha et al., op. cit., ad art. 67 LStr, n. marg. 5, pag. 271; Andrea Binder Oser, in: Caroni et al., Bundesgesetz über die Ausländerinnen und Ausländer, 2010, ad art. 67 LStr, n. marg. 24, pag. 689). Essa può infatti fondarsi sulla natura del bene giuridico in pericolo (ad esempio: minaccia grave alla vita, all'integrità della persona, all'integrità sessuale o alla salute pubblica), sulla natura dell'infrazione commessa, segnatamente compresa in una criminalità particolarmente grave con dimensione transfrontaliera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(DTF 139 II 121 consid. 6).</w:t>
      </w:r>
    </w:p>
    <w:p>
      <w:r>
        <w:rPr>
          <w:b/>
        </w:rPr>
        <w:t>E. 6.1</w:t>
      </w:r>
    </w:p>
    <w:p>
      <w:r>
        <w:t>Dalle tavole processuali risulta che A._______ si è trasferito in Svizzera nel 1991. Durante la sua permanenza sul territorio della Confederazione egli ha vissuto con la famiglia ed esercitato la professione di medico ginecologo, ed è essenzialmente in questa veste che, nel periodo compreso tra il gennaio 2001 ed il giugno 2008, ha commesso i delitti per i quali è stato condannato in data 21 marzo 2013 dalla Corte delle assise correzionali di Lugano ad una pena detentiva di 18 mesi sospesi condizionalmente per un periodo di prova di 2 anni. A._______ è stato infatti riconosciuto colpevole di ripetuta coazione sessuale (per atti commessi nel 2001), di ripetuti atti sessuali con persone incapaci di discernimento o inette a resistere (per infrazioni commesse negli anni 2003, 2006 e 2007), di falsità in documenti (per atti commessi nel 2008) e di complicità in infrazione alla LAMal (RS 832.10) (per delitti commessi nel 2008). I reati contro l'integrità sessuale di cui si è macchiato A._______ sono stati commessi ai danni di 4 donne, di cui 3 erano sue pazienti; invece per quanto concerne i reati patrimoniali commessi a danno delle casse malattia, occorre sottolineare che il valore su cui essi vertevano corrisponde a fr. 25'592.90 (cfr. sentenza della Corte delle assise correzionali di Lugano del 21 marzo 2013, pagg. 18-27 dell'incarto Simic).</w:t>
      </w:r>
    </w:p>
    <w:p>
      <w:r>
        <w:rPr>
          <w:b/>
        </w:rPr>
        <w:t>E. 6.2</w:t>
      </w:r>
    </w:p>
    <w:p>
      <w:r>
        <w:t>Sulla base di queste circostanze, vista la gravità e la pericolosità delle infrazioni commesse ed alla luce dei beni giuridici estremamente sensibili toccati, quali l'integrità sessuale, il provvedimento avversato soddisfa le condizioni che permettono all'autorità di derogare al principio della libera circolazione sancito dall'ALC. Ne discende inoltre che questi comportamenti, sanzionati da specifiche norme del diritto penale, possono portare all'emissione di un divieto d'entrata poiché costituendo indubbiamente una violazione e mettendo in pericolo l'ordine e la sicurezza pubblici, adempiono ai requisiti dell'art. 67 cpv. 2 lett. a LStr.</w:t>
      </w:r>
    </w:p>
    <w:p>
      <w:r>
        <w:rPr>
          <w:b/>
        </w:rPr>
        <w:t>E. 7.1</w:t>
      </w:r>
    </w:p>
    <w:p>
      <w:r>
        <w:t>A questo stadio è dunque necessario esaminare in concreto se la minaccia è ad oggi sempre di attualità, tenendo ben presente che, come si è precedentemente rilevato, l'adozione o il mantenimento di un provvedimento di questo tipo non deve essere subordinata alla condizione di stabilita certezza che la persona toccata da una misura di divieto d'entrata commetta nuove infrazioni penali, ma nemmeno si deve esigere la totale assenza di un rischio di recidiva per rinunciarvi.</w:t>
      </w:r>
    </w:p>
    <w:p>
      <w:r>
        <w:rPr>
          <w:b/>
        </w:rPr>
        <w:t>E. 7.2</w:t>
      </w:r>
    </w:p>
    <w:p>
      <w:r>
        <w:t>In merito alla questione a sapere se nel caso in esame il ricorrente rappresenti una minaccia attuale per l'ordine e la sicurezza pubblici, a mente del Tribunale, deve essere data una risposta negativa. Sebbene, come si è visto, le infrazioni commesse da A._______ fossero molto gravi, viste le modalità e i beni giuridici minacciati, occorre d'altro canto osservare che i delitti perpetrati si inserivano nell'ambito dell'attività professionale dell'interessato, essendo perpetrati in qualità di medico ginecologo curante delle vittime, per quanto concerne i reati contro l'integrità sessuale, e ai danni delle casse malati, per quanto invece riguarda i reati di natura patrimoniale. Dagli atti è emerso che dal momento della condanna il ricorrente non ha più esercitato la professione di medico e, con decisione del 7 febbraio 2014, il Dipartimento della sanità e della socialità del Canton Ticino gli ha revocato l'autorizzazione all'esercizio della professione per una durata indeterminata. Ne discende che il rischio che A._______ possa in futuro commettere atti delittuosi ai danni di pazienti e casse malattia deve essere considerato come debole. Va altresì considerato che l'insorgente non è autorizzato a vivere in Svizzera, avendo il 28 agosto 2013 la SPOP revocato il suo permesso di domicilio (cfr. pagg. 1-2 dell'incarto Simic), decisione confermata su ricorso dal Consiglio di Stato il 15 gennaio 2014 (cfr. pagg. 3-15 dell'incarto Simic).</w:t>
      </w:r>
    </w:p>
    <w:p>
      <w:r>
        <w:rPr>
          <w:b/>
        </w:rPr>
        <w:t>E. 8</w:t>
      </w:r>
    </w:p>
    <w:p>
      <w:r>
        <w:t>Venendo meno uno dei requisiti affinché sia possibile emanare una decisione di divieto d'entrata nei confronti dell'interessato, non occorre esaminare le ulteriori censure formulate da A._______ in merito alla presunta violazione del principio di proporzionalità e del diritto al rispetto della vita privata e familiare giusta l'art. 8 CEDU da parte dell'autorità inferiore, sebbene il Tribunale a questo proposito osserva a titolo abbondanziale che gli interessi privati in ambito familiare del ricorrente avrebbero giocato un ruolo non secondario nell'ambito dell'apprezzamento della presente fattispecie.</w:t>
      </w:r>
    </w:p>
    <w:p>
      <w:r>
        <w:rPr>
          <w:b/>
        </w:rPr>
        <w:t>E. 9</w:t>
      </w:r>
    </w:p>
    <w:p>
      <w:r>
        <w:t>Da quanto esposto, discende che il ricorso deve essere accolto, le spese giudiziarie e le ripetibili seguono la soccombenza, considerato tuttavia come ai sensi dell'art. 63 cpv. 2 PA nessuna spesa processuale è messa a carico dell'autorità inferiore.</w:t>
      </w:r>
    </w:p>
    <w:p>
      <w:r>
        <w:rPr>
          <w:b/>
        </w:rPr>
        <w:t>E. 10</w:t>
      </w:r>
    </w:p>
    <w:p>
      <w:r>
        <w:t>Ritenuto che l'insorgente è rappresentato in questa sede da un avvocato, si giustifica l'attribuzione di un'indennità a titolo di spese ripetibili (art. 64 PA in combinato disposto con gli art. 7 e segg. del regolamento sulle tasse e sulle spese ripetibili nelle cause dinanzi al Tribunale amministrativo federale del 21 febbraio 2008 [TS-TAF, RS 173.320.2]). La stessa, in assenza di una nota dettagliata, è fissata d'ufficio in fr. 1'200.-, IVA esclusa (cfr. art. 1 cpv. 2 in correlazione con gli art. 8 cpv. 1 e 18 cpv. 1 LIVA [RS 641.20]), tenuto conto del lavoro effettivo svolto dal patrocinatore del ricorrente. L'indennità per ripetibili è posta a carico della SEM.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