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C-7324/2007 vom 22. Juni 2009</w:t>
      </w:r>
    </w:p>
    <w:p>
      <w:r>
        <w:t>Bundesverwaltungsgericht, 2009-06-22, FR</w:t>
      </w:r>
    </w:p>
    <w:p>
      <w:r>
        <w:rPr>
          <w:b/>
        </w:rPr>
        <w:t xml:space="preserve">Quelle: </w:t>
      </w:r>
      <w:r>
        <w:t>https://mcp.opencaselaw.ch/entscheid/bvger_C-7324_2007</w:t>
      </w:r>
    </w:p>
    <w:p>
      <w:r>
        <w:t>FR: TAF C-7324/2007 du 22 juin 2009</w:t>
      </w:r>
    </w:p>
    <w:p>
      <w:r>
        <w:t>IT: TAF C-7324/2007 del 22 giugno 2009</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TAF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3.4</w:t>
      </w:r>
    </w:p>
    <w:p>
      <w:r>
        <w:t>S'agissant du droit applicable, il convient encore de préciser que la présente procédure est régie par la LAI et par son règlement d'exécution dans leur teneur en vigueur jusqu'au 31 décembre 2007,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 Les dispositions topiques sont donc citées dans le présent arrêt dans leur teneur en vigueur jusqu'au 31 décembre 2007.</w:t>
      </w:r>
    </w:p>
    <w:p>
      <w:r>
        <w:rPr>
          <w:b/>
        </w:rPr>
        <w:t>E. 4</w:t>
      </w:r>
    </w:p>
    <w:p>
      <w:r>
        <w:t>Avant de se prononcer sur le fond de la cause, le Tribunal doit analyser à titre préliminaire les griefs de nature formelle soulevés par le recourant. Celui-ci a en effet reproché à l'autorité intimée d'avoir violé son droit d'être entendu en ne lui communiquant pas les chiffres topiques appliqués lors de l'évaluation de l'invalidité et en ne répondant pas à ses arguments.</w:t>
      </w:r>
    </w:p>
    <w:p>
      <w:r>
        <w:rPr>
          <w:b/>
        </w:rPr>
        <w:t>E. 4.1</w:t>
      </w:r>
    </w:p>
    <w:p>
      <w:r>
        <w:t>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Le but est que toute personne doit pouvoir s'exprimer avant qu'une décision ne soit prise à son détriment, ce qui implique la possibilité de prendre connaissance des pièces du dossier, de faire administrer des preuves sur des faits importants pour la décision envisagée, de participer à l'administration de l'ensemble des preuves et de faire valoir ses arguments (ATF 120 Ia 379 consid. 3b, ATF 119 Ia 260 consid. 6a, ATF 119 Ib 12 consid. 4).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à l'art. 42 LPGA (droit d'être entendu).</w:t>
      </w:r>
    </w:p>
    <w:p>
      <w:r>
        <w:rPr>
          <w:b/>
        </w:rPr>
        <w:t>E. 4.2</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Toutefois,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Häfelin/Georg Müller/Felix Uhlmann, Allgemeines Verwaltungsrecht, 5e éd., Zurich/Bâle/Genève 2006, n. 1711; Andreas Auer/Giorgio Malinverni/Michel Hottelier, Droit constitutionnel suisse, volume II, Les droits fondamentaux, 2ème éd., Berne 2006, n. 1347s).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4.3</w:t>
      </w:r>
    </w:p>
    <w:p>
      <w:r>
        <w:t>Dans le cas présent, le recourant a eu la faculté de s'exprimer au sujet du calcul opéré et des revenus pertinents retenus devant le TAF lequel établit les faits d'office (art. 44 al. 2 LTAF). Il y a dès lors lieu d'admettre que le vice invoqué est considéré comme réparé. Quant au grief concernant l'absence de prise en compte par l'autorité intimée des observations développées par le recourant, il faut remarquer qu'elle expliquait déjà dans sa décision du 17 mai 2006 qu'il est sans importance, pour l'évaluation du degré d'invalidité, qu'une activité raisonnablement exigible soit effectivement exercée ou non, si bien que les allégations du recourant au sujet de la rémunération des postes qu'on lui propose sont sans pertinence au regard de l'AI (cf. également infra consid. 9.1.2).</w:t>
      </w:r>
    </w:p>
    <w:p>
      <w:r>
        <w:rPr>
          <w:b/>
        </w:rPr>
        <w:t>E. 5</w:t>
      </w:r>
    </w:p>
    <w:p>
      <w:r>
        <w:t>Il reste donc à examiner si l'autorité intimée était bien fondée à rejeter la demande de prestations AI déposée par le recourant. 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6.3</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l'Accord bilatéral entre la suisse et la Communauté européenne, la restriction prévue à l'art. 28 al. 1ter LAI, selon laquelle les rentes correspondant à un taux d'invalidité inférieur à 50% ne sont versées qu'aux assurés qui ont leur domicile et leur résidence habituelle en Suisse (art. 13 LPGA), n'est plus applicable à l'assuré ressortissant suisse ou d'un pays membre de l'Union européenne (ci-après: UE) qui a son domicile et sa résidence habituelle dans l'UE.</w:t>
      </w:r>
    </w:p>
    <w:p>
      <w:r>
        <w:rPr>
          <w:b/>
        </w:rPr>
        <w:t>E. 6.4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6.5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la décision litigieuse se fonde essentiellement sur l'expertise pluridisciplinaire COMAI effectuée en septembre 2005, laquelle répond en tous points aux exigences de la jurisprudence précitée (cf. supra consid. 7.2). Il ressort du rapport d'expertise que l'anamnèse du recourant est plutôt confuse voire contradictoire et qu'il obtempère plus aux suggestions des experts qu'il ne relate lui-même son parcours médical. La situation est également peu claire en ce qui concerne les activités que l'assuré a exercées en Espagne, puisqu'il est fait état d'une aide dans le café tenu par sa femme et de l'exercice de la profession de vigile. Sur le plan médical, la consultation neurologique n'a pas permis de mettre en évidence une atteinte neurologique et notamment radiculaire significative. A dire d'expert, les troubles sensitivo-moteurs au niveau du membre inférieur droit sont vraisemblablement subjectifs et sur le plan radiologique, on ne retrouve pas la suspicion évoquée en Espagne d'instabilité L5-S1. L'expert observe en revanche une anomalie transitionnelle lombosacrée, quelques troubles statiques vertébraux et une possible discopathie de l'espace discal sus-sacré, une spondylolyse bilatérale de L5 ainsi qu'une petite protusion discale L5-S1 sans évidence de compression radiculaire. Il dit qu'il est possible que ces anomalies puissent entraîner une gêne dans une activité de force mais qu'un travail sans port de charges lourdes et permettant des changements relativement fréquents de position est exigible à plein temps. La consultation psychiatrique quant à elle ne révèle pas de pathologie psychiatrique autre qu'un syndrome douloureux somatoforme, lequel avait déjà été identifié en 1993. Toutefois, les ressources adaptatives sont préservées, à tout le moins lorsque l'assuré est soutenu par son entourage familial. La présence d'une importante consommation d'alcool est remarquée sans que soient satisfaits les critères d'un syndrome de dépendance à l'alcool. Toutes ces observations conduisent les experts à exclure l'exercice de l'activité antérieure de maçon. Cependant, ils estiment que dans la dernière activité exercée, celle de collecteur de machines à sous, la capacité est entière. Raison pour laquelle, l'autorité intimée concluera à l'absence d'invalidité, ce que le recourant réfutera dans son opposition.</w:t>
      </w:r>
    </w:p>
    <w:p>
      <w:r>
        <w:rPr>
          <w:b/>
        </w:rPr>
        <w:t>E. 8.2</w:t>
      </w:r>
    </w:p>
    <w:p>
      <w:r>
        <w:t>Il faut d'emblée remarquer que le recourant n'a pas présenté d'éléments concrets, outre ses plaintes personnelles, permettant de mettre en doute l'expertise COMAI. Dans son certificat médical du 29 octobre 2004, le Dr E.________ fait état d'une symptomatologie cervicale qui ne se retrouve pas complètement dans l'expertise. Il faut noter à ce sujet qu'il n'y a pas eu de nouveaux clichés radiologiques et que le dossier ne contient pas de radiographies des vertèbres cervicales, toutefois l'examen clinique entrepris par les experts COMAI, s'il révèle des douleurs localisées à la partie antérieure de l'épaule droite, n'était pas tel qu'il dictait la réalisation de tels clichés. Au demeurant, le Dr E.________ ne soutenait pas que le recourant est totalement empêché de travailler mais plaidait pour la mise en oeuvre d'une expertise neutre, ce qui fut fait. La documentation médicale espagnole n'exclut pas non plus la possibilité d'une activité professionnelle adaptée; le rapport E 213 de 2002 indiquait même que cela était exigible à temps complet. Dans son certificat médical du 9 août 2004, le Dr B._______, médecin traitant en Espagne du recourant, remarque que la pathologie initiale du recourant avec instabilité avec lyse de l'arc L5 qui a nécessité l'arthrodèse peut réellement limiter la pleine et entière capacité de travail du patient. Outre le fait que, comme le Dr F._______ le souligne dans sa prise de position du 29 septembre 2004, l'arthrodèse avait justement comme but de soulager cette pathologie initiale, il faut comprendre que le patient pourrait travailler, mais dans une mesure limitée sans que le Dr. B._______ précise si cette limitation concerne le taux d'occupation ou le type d'activité. Le Dr C._______, dans ses rapports E 213 de 2004 et 2005, ne se prononce pas sur la capacité résiduelle de travail du recourant, il se contente de mentionner qu'en vertu de la législation du pays de résidence, l'invalidité pour l'activité exercée en dernier lieu est totale, que le taux d'invalidité pour toute autre activité correspondant aux aptitudes de l'assuré et la catégorie d'invalidité, toujours aux yeux de la législation de résidence, est totale. Or, seul le droit interne détermine les modalités de l'évaluation du taux d'invalidité (cf. consid. 3.1 in fine et 3.3) qui est, selon la loi suisse, une notion juridico-économique et non médicale. En d'autres termes, seules sont couvertes les pertes économiques (atteignant au moins 40% du revenu) liées à une atteinte à la santé physique ou psychique et non la maladie en tant que telle. En Espagne, la situation est toute différente. Il existe en effet quatre degrés d'invalidité permanente: a) l'incapacité permanente partielle pour la profession habituelle b) l'incapacité permanente totale pour la profession habituelle c) l'incapacité permanente absolue pour tout travail d) la grande invalidité (cf. articulos 137 del texto de la Ley general de la Seguridad Social, aporbado por el Real decreto legislativo 1/1994, de 20 de junio, consulté sur le site Internet http://www.derecho.com/l/boe/real-decreto-legislativo-1-1994-aprueba-texto-refundido-ley-general-seguridad-social/ consulté le 5 juin 2009). La rente octroyée en cas d'incapacité permanente totale pour la profession habituelle équivaut à 55% de la base de calcul (soit le salaire de référence) alors que celle allouée à titre d'incapacité permanente absolue se fonde sur 100% de la base de calcul (cf. le site du système d'information mutuelle sur la protection sociale des Etats membres de l'UE et de l'EEE http://ec.europa.eu/employment_social/missoc/2000/es_part5_fr.htm, consulté le 5 juin 2009). La décision espagnole du 12 avril 2005 reconnaissant le recourant en situation d'incapacité permanente totale ne précise pas s'il s'agit d'une incapacité pour la profession habituelle ou d'une incapacité absolue. Toutefois, la rente octroyée se fonde sur 55% de la base de calcul ce qui correspond à l'incapacité permanente totale pour la profession habituelle, laquelle est définie comme la situation dans laquelle le travailleur ne peut plus exécuter les tâches essentielles de sa profession mais peut encore exercer une activité différente (cf. art. 137 al. 4 de la loi espagnole précitée). Il s'en suit que le recourant ne peut tirer argument de ce qu'il reçoit une rente en Espagne, laquelle de surcroît semble s'articuler sur les mêmes constatations helvétiques, à savoir l'exigibilité d'une autre activité. Finalement, la Cour de céans, suivant l'appréciation du service médical de l'OAIE, est d'avis que le recourant peut exercer à plein temps une activité adaptée à son atteinte à la santé. Cette activité de substitution est de type léger à modéré, ne nécessitant pas de port de charge répété de plus de 10kg, ni de maintiens de positions en porte- à-faux du tronc et doit permettre des changements de position.</w:t>
      </w:r>
    </w:p>
    <w:p>
      <w:r>
        <w:rPr>
          <w:b/>
        </w:rPr>
        <w:t>E. 9</w:t>
      </w:r>
    </w:p>
    <w:p>
      <w:r>
        <w:t>Il convient donc d'examiner la perte de gain que le recourant subirait dans l'exercice d'une activité exigible.</w:t>
      </w:r>
    </w:p>
    <w:p>
      <w:r>
        <w:rPr>
          <w:b/>
        </w:rPr>
        <w:t>E. 9.1.1</w:t>
      </w:r>
    </w:p>
    <w:p>
      <w:r>
        <w:t>L'invalidité est évaluée en comparant le revenu que l'intéressé pourrait obtenir en exerçant une activité qu'on peut raisonnablement attendre (revenu d'invalide) sur un marché du travail équilibré avec le revenu qu'il aurait eu s'il n'était pas devenu invalide (revenu sans invalidité). C'est la méthode ordinaire de comparaison des revenus (jusqu'au 31 décembre 2002: art 28 al. 2 LAI; du 1er janvier au 31 décembre 2003: art. 1 al. 1 LAI en corrélation avec l'art. 16 LPGA; depuis le 1er janvier 2004: art. 28 al. 2 LAI en corrélation avec l'art. 16 LPGA). Ne sont pas déterminants les critères médico-théoriques, mais bien plutôt les répercussions de l'atteinte à la santé sur la capacité de gain (cf. par analogie, RAMA 1991 no U 130 p. 270 consid. 3b; voir aussi ATF 114 V 310 consid. 3c). Il n'est pas non plus inutile de rappeler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VSI 1999 p. 247 consid. 1; Pratique VSI 1998 p. 296 consid. 3b).</w:t>
      </w:r>
    </w:p>
    <w:p>
      <w:r>
        <w:rPr>
          <w:b/>
        </w:rPr>
        <w:t>E. 9.1.2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(RCC 1991 p. 332 consid. 3b, 1989 p. 331 consid. 4a).</w:t>
      </w:r>
    </w:p>
    <w:p>
      <w:r>
        <w:rPr>
          <w:b/>
        </w:rPr>
        <w:t>E. 9.2.1</w:t>
      </w:r>
    </w:p>
    <w:p>
      <w:r>
        <w:t>En l'absence d'un revenu effectivement réalisé après la survenance de l'atteinte à la santé, la jurisprudence admet pour la détermination du salaire d'invalide,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w:t>
      </w:r>
    </w:p>
    <w:p>
      <w:r>
        <w:rPr>
          <w:b/>
        </w:rPr>
        <w:t>E. 9.2.2</w:t>
      </w:r>
    </w:p>
    <w:p>
      <w:r>
        <w:t>Le revenu sans invalidité quant à lui se détermine en établissant au degré de la vraisemblance prépondérante ce que l'assuré aurait effectivement réalisé au moment déterminant s'il était en bonne santé. A ce titre il convient en général de se référer au dernier salaire que l'assuré a obtenu avant l'atteinte à la santé. Toutefois, en raison de la disparité des niveaux de rémunération et des coûts de la vie entre les Etats, on ne saurait retenir en principe le montant du dernier salaire obtenu par le recourant dans son Etat de résidence (ATF 110 V 273 consid. 4d; arrêt du Tribunal fédéral I 383/06 du 5 avril 2007 consid. 4.4) ou qu'il aurait pu obtenir, d'où la nécessité pour effectuer la comparaison des salaires de se référer à des données statistiques. C'est à bon droit que l'autorité s'est fiée à l'ESS et non aux statistiques espagnoles (disponibles, contrairement à ce qu'avance l'autorité intimée, sur le site Internet de l'institut national espagnol de la statistique www.ine.es),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9.2.3</w:t>
      </w:r>
    </w:p>
    <w:p>
      <w:r>
        <w:t>En l'espèce, le dernier salaire ayant été acquis en Suisse, la décision litigieuse se fonde, en application de la jurisprudence précitée, sur les données résultant de l'ESS 2004 et fixe le revenu sans invalidité du recourant à Fr. 4'422.-- ce qui équivaut au salaire auquel peuvent prétendre les hommes pour des activités simples et répétitives (niveau de qualification 4) dans la branche du commerce/réparation du secteur service. Les salaires bruts standardisés se basent sur un horaire de travail de 40 heures, soit une durée hebdomadaire inférieure à la moyenne usuelle dans ce secteur en 2004 (41.9 heures, cf. OFS, durée normale du travail dans les entreprises selon la division économique, en heures par semaine, T. 03.02.04.19), ce salaire hypothétique de Fr. 4'422.-- doit donc encore être adapté et s'élève en fait à Fr. 4'632.05 ainsi que l'autorité intimée l'a retenu à juste titre.</w:t>
      </w:r>
    </w:p>
    <w:p>
      <w:r>
        <w:rPr>
          <w:b/>
        </w:rPr>
        <w:t>E. 9.2.4</w:t>
      </w:r>
    </w:p>
    <w:p>
      <w:r>
        <w:t>Le revenu d'invalide est contesté par le recourant au motif qu'il engloberait des activités incompatibles avec les limitations fonctionnelles retenues. Dans un premier temps, l'autorité intimée avait conclu à l'absence d'invalidité sans procéder à une comparaison des revenus, l'ancienne activité de réparateur/collecteur de machines à sous étant à son avis adaptée à l'état de santé du recourant. A la suite des doléances du recourant qui faisait valoir que son cahier des charges nécessitait le soulèvement régulier de pièces de plus de 19kg et le déplacement de machines de plus de 100kg, l'autorité a revu sa position. Elle a d'abord pris les salaires afférents à des activités simples et répétitives déployées dans la branche de la production en général et le commerce de gros. Puis l'autorité a renoncé à prendre en compte ces montants qui se sont révélés supérieurs au salaire retenu à titre de revenu sans invalidité (cf. dans ce contexte ATF 134 V 322). Les chiffres qu'elle a finalement retenus sont ceux relatifs aux activités du commerce de détail (Fr. 4'280.-- selon l'ESS 2004 [homme niveau de qualification 4]) et aux services fournis aux entreprises (Fr. 4'333.--). Ces secteurs recouvrent sans nul doute des travaux (caissier, réparation d'appareil domestique; distribution de courrier interne etc.) compatibles avec l'état de santé du recourant. Peu importe au regard de l'AI que de tels postes soient réellement offerts au recourant, il s'agit là en effet d'une problématique qui relève de l'assurance chômage (cf. supra consid. 9.1.2 sur la notion de marché équilibré du travail). De même manière, le recourant ne peut se prévaloir du fait que la valorisation de sa capacité de travail résiduelle n'est pas exigible d'un point de vue socio-pratique puisqu'il s'agit là d'un facteur également étranger à l'AI (cf. supra consid. 9.1.1 in fine). Partant, il y a lieu avec l'autorité intimée de retenir la moyenne des salaires ressortant de l'ESS 2004 dans les secteurs considérés (commerce de détail; services fournis aux entreprises) qui une fois adaptée à l'horaire hebdomadaire moyen dans les entreprises suisses en 2004 donne Fr. 4'489.53.</w:t>
      </w:r>
    </w:p>
    <w:p>
      <w:r>
        <w:rPr>
          <w:b/>
        </w:rPr>
        <w:t>E. 9.2.5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130 V 393 consid. 3.3, ATF 126 V 75 consid. 6, ATF 123 V 150 consid. 2 et les références). En l'espèce, l'OAIE a consenti un abattement de 5 % sur le revenu d'invalide de l'assuré pour tenir compte des circonstances personnelles et professionnelles du cas, ce qui aboutit à un salaire d'invalide de Fr. 4'265.05. Bien que l'autorité aurait dû préciser les facteurs retenus, on comprend qu'il s'agit en l'espèce du fait que le recourant ne peut plus exercer que des activités moyennes à légères. Cette argumentation n'est pas insoutenable, il n'y a donc pas lieu de s'en écarter. Il sied de remarquer que de toute manière, un abattement plus important n'entraînerait aucune modification de la décision litigieuse, le taux d'invalidité restant en deçà des 40%.</w:t>
      </w:r>
    </w:p>
    <w:p>
      <w:r>
        <w:rPr>
          <w:b/>
        </w:rPr>
        <w:t>E. 9.3</w:t>
      </w:r>
    </w:p>
    <w:p>
      <w:r>
        <w:t>Le calcul comparatif des revenus fait apparaître un préjudice économique de 8% (4'632.05-4'265.05 x 100 / 4'632.05) une fois arrondi au pour-cent supérieur (ATF 130 V 122 consid. 3.2), taux d'invalidité qui ne donne pas droit à une rente (art. 28 al. 1 LAI). Mal fondé, le recours doit par conséquent être rejeté et la décision sur opposition du 26 septembre 2007 confirmée.</w:t>
      </w:r>
    </w:p>
    <w:p>
      <w:r>
        <w:rPr>
          <w:b/>
        </w:rPr>
        <w:t>E. 10.1</w:t>
      </w:r>
    </w:p>
    <w:p>
      <w:r>
        <w:t>La décision litigieuse a été rendue après le 1er juillet 2006, entrée en vigueur de l'art. 69 al. 2 LAI soumettant la procédure de recours en matière de contestations portant sur l'octroi ou le refus de prestations de l'AI devant le Tribunal administratif fédéral à des frais de procédure.</w:t>
      </w:r>
    </w:p>
    <w:p>
      <w:r>
        <w:rPr>
          <w:b/>
        </w:rPr>
        <w:t>E. 10.2</w:t>
      </w:r>
    </w:p>
    <w:p>
      <w:r>
        <w:t>Le recourant, qui succombe, doit donc s'acquitter des frais de justice fixés, compte tenu de la charge liée à la procédure, à Fr. 400.-- (art. 63 al. 1 règlement du 21 février 2008 concernant les frais, dépens et indemnités fixés par le Tribunal administratif fédéral [FITAF, RS 173.320.2] en relation avec l'art. 69 al. 2 LAI). Ils sont compensés par l'avance de frais déjà versée de Fr. 400.--.</w:t>
      </w:r>
    </w:p>
    <w:p>
      <w:r>
        <w:rPr>
          <w:b/>
        </w:rPr>
        <w:t>E. 10.3</w:t>
      </w:r>
    </w:p>
    <w:p>
      <w:r>
        <w:t>Compte tenu de l'issu du litige, 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