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C-7321/2015 vom 18. Februar 2016</w:t>
      </w:r>
    </w:p>
    <w:p>
      <w:r>
        <w:t>Bundesverwaltungsgericht, 2016-02-18, DE</w:t>
      </w:r>
    </w:p>
    <w:p>
      <w:r>
        <w:rPr>
          <w:b/>
        </w:rPr>
        <w:t xml:space="preserve">Quelle: </w:t>
      </w:r>
      <w:r>
        <w:t>https://mcp.opencaselaw.ch/entscheid/bvger_C-7321_2015</w:t>
      </w:r>
    </w:p>
    <w:p>
      <w:r>
        <w:t>FR: TAF C-7321/2015 du 18 février 2016</w:t>
      </w:r>
    </w:p>
    <w:p>
      <w:r>
        <w:t>IT: TAF C-7321/2015 del 18 febbraio 2016</w:t>
      </w:r>
    </w:p>
    <w:p>
      <w:pPr>
        <w:pStyle w:val="Heading2"/>
      </w:pPr>
      <w:r>
        <w:t>Regeste</w:t>
      </w:r>
    </w:p>
    <w:p>
      <w:r>
        <w:t>Einreiseverbot</w:t>
      </w:r>
    </w:p>
    <w:p>
      <w:pPr>
        <w:pStyle w:val="Heading2"/>
      </w:pPr>
      <w:r>
        <w:t>Erwägungen</w:t>
      </w:r>
    </w:p>
    <w:p>
      <w:r>
        <w:rPr>
          <w:b/>
        </w:rPr>
        <w:t>E. 1.1</w:t>
      </w:r>
    </w:p>
    <w:p>
      <w:r>
        <w:t>Von der Vorinstanz erlassene Verfügungen betreffend Einreiseverbote sind mit Beschwerde beim BVGer anfechtbar (vgl. Art. 31 ff. VGG i.V.m. Art. 5 VwVG). Das Rechtsmittelverfahren vor dem Bundesverwaltungsgericht richtet sich nach dem VwVG, soweit das VGG nichts anderes bestimmt (Art. 37 VGG).</w:t>
      </w:r>
    </w:p>
    <w:p>
      <w:r>
        <w:rPr>
          <w:b/>
        </w:rPr>
        <w:t>E. 1.2</w:t>
      </w:r>
    </w:p>
    <w:p>
      <w:r>
        <w:t>Gegenstand des Beschwerdeverfahrens kann nur sein, worüber die Vorinstanz entschieden hat oder richtigerweise hätte entscheiden müs-sen. Im vorliegenden Fall hat die Vorinstanz mit Verfügung vom 14. Oktober 2015 über den Beschwerdeführer ein Einreiseverbot vom 27. September 2017 bis 13. Oktober 2018 verhängt und die Massnahme im Schengener Informationssystem (SIS II) eingetragen. Gemäss dem prozessualen Grundsatz, dass sich der Streitgegenstand im Zuge des Rechtsmittelverfahrens nicht ausweiten darf, können somit nur das einjährige Einreiseverbot und die SIS-Ausschreibung Gegenstand des Beschwerdeverfahrens sein (vgl. ALFRED KÖLZ/ISABELLE HÄNER/MARTIN BERTSCHI, Verwaltungsverfahren und Verwaltungsrechtspflege des Bundes, 3. Aufl., Zürich 2013, N 687 ff. m.H. sowie Thomas Flückiger, Praxiskommmentar VwVG, 2009, N 18 zu Art. 7). Die Anträge des Beschwerdeführers auf (antizipierte) Gewährung von Suspensionen (vgl. Art. 67 Abs. 5) und auf Anweisung zu Handen der Schweizerischen Botschaft in Serbien und Montenegro, seinen jeweiligen Visagesuchen zuzustimmen (vgl. Ziff. 1 und 2 der Beschwerdeanträge; Sachverhalt Bst. G) bzw. auf eine mit Auflage verbundene Suspension, die sich beispielsweise lediglich auf den Schengenraum erstrecken soll (vgl. Beschwerde vom 13. November 2015, S. 5), gehen darüber hinaus und sind damit nicht zulässig. Der Umstand, dass die Vor-instanz in ihrer Vernehmlassung vom 16. Dezember 2015 die Bereitschaft signalisiert hat, unter bestimmten Umständen jährlich Suspensionen von je drei Wochen zu gewähren, vermag daran nichts zu ändern.</w:t>
      </w:r>
    </w:p>
    <w:p>
      <w:r>
        <w:rPr>
          <w:b/>
        </w:rPr>
        <w:t>E. 1.3</w:t>
      </w:r>
    </w:p>
    <w:p>
      <w:r>
        <w:t>Der Beschwerdeführer ist als Verfügungsadressat zur Beschwerde legitimiert (Art. 48 Abs. 1 VwVG). Auf die frist- und formgerecht eingereichte Beschwerde ist im dargelegten Umfang (vgl. E. 1.2)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3.1 Der Beschwerdeführer beanstandet die Verhängung einer erneuten Fernhaltemassnahme nicht. Die erste ist ohnehin in Rechtskraft erwachsen (vgl. vorne Bst. C) und somit unanfechtbar geworden. Hingegen beantragt er die Beschränkung des Einreiseverbots auf die Schweiz bzw. die Löschung der Ausschreibung im Schengener-Informationssystem (SIS II). Der Beschwerde lässt sich entnehmen, dass die Verlobte des Beschwerdeführers bereits gegenüber dem kantonalen Migrationsamt ausgeführt habe, es liege ihr viel daran, dass die Kinder den Vater sehen können; sie vermöge sich Auslandsreisen zum Beschwerdeführer nicht zu leisten. Wenn schon kein Besuchsrecht in der Schweiz gewährt worden sei, so sei ihrem Verlobten zumindest ein Aufenthaltsrecht im Schengenraum zu gewähren. 3.2 In der vorliegenden Streitsache kann es nicht um das Aufenthaltsrecht als solches gehen, wird dieses doch nicht vom Verfahrensgegenstand erfasst (vgl. dazu E. 1.2). Es ist lediglich auf die Frage einzugehen, ob die Ausschreibung des Beschwerdeführers im SIS II zu Recht erfolgte. 3.2.1 Ein Einreiseverbot gilt in räumlicher Hinsicht für die Schweiz und in der Regel auch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105/1 vom 13.04.2006]). 3.2.2 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Die Daten zu Drittstaatsangehörigen, die zur Einreise- und Aufenthaltsverweigerung ausgeschrieben sind, werden dabei aufgrund einer nationalen Ausschreibung eingegeben, die auf einer Entscheidung der zuständigen Verwaltungsbehörden oder Gerichte beruht, wobei die Verfahrensregeln des nationalen Rechts zu beachten sind; diese Entscheidung darf nur auf der Grundlage einer individuellen Bewertung ergehen (vgl. Art. 24 Abs. 1 1. Satz SIS-II-Verordnung). Gemäss Art. 24 Abs. 3 SIS-II-Verordnung kann eine Ausschreibung unter anderem auch dann ergehen, wenn die Entscheidung nach Abs. 1 darauf beruht, dass der Drittstaatsangehörige ausgewiesen, zurückgewiesen oder abgeschoben worden ist, wobei die Massnahme nicht aufgeschoben oder ausgesetzt worden sein darf, ein Verbot der Einreise oder gegebenenfalls ein Verbot des Aufenthalts enthalten oder davon begleitet sein muss und auf der Nichtbeachtung der nationalen Rechtsvorschriften über die Einreise oder den Aufenthalt von Drittstaatsangehörigen beruhen muss. 3.2.3 Der Beschwerdeführer kann somit als Drittstaatsangehöriger grundsätzlich zur Einreise- bzw. Aufenthaltsverweigerung im SIS II ausgeschrieben werden. Das einjährige Einreiseverbot beruht zudem unter anderem darauf, dass er aus der Schweiz weggewiesen wurde, da er mehrfach rechtswidrig in die Schweiz eingereist ist und sich hier mehrfach rechtswidrig aufgehalten hat (vgl. Sachverhalt Bst. D und E). Bloss der Vollständigkeit halber sei angemerkt, dass bezüglich der Ausschreibung des ersten Einreiseverbots auch die Voraussetzungen von Art. 24 Abs. 2 SIS-II-Verordnung erfüllt waren. Des Weiteren rechtfertigt in diesem Zusammenhang die Bedeutung des Falles eine Ausschreibung (Art. 21 SIS-II-Verordnung). Mit diesen Ausführungen ist nicht zu beanstanden, dass ihm die Vorinstanz die Einreise in das Hoheitsgebiet sämtlicher Schengen-Staaten verboten hat, zumal die Schweiz auch deren Interessen zu wahren hat (vgl. BVGE 2011/48 E. 6.1). 3.3 Wie bereits das SEM ausführt, steht es dem Beschwerdeführer offen, bei der Vorinstanz die zeitweilige Suspension der angeordneten Fernhaltemassnahme zu beantragen (Art. 67 Abs. 5 AuG; in concreto: drei Wochen/Jahr, vgl. Vernehmlassung vom 16. Dezember 2015). Überdies bleibt es auch den Mitgliedstaaten unbenommen, der betroffenen Person aus wichtigen Gründen oder aufgrund internationaler Verpflichtungen die Einreise in das eigene Hoheitsgebiet zu gestatten (vgl. Art. 13 Abs. 1 i.V.m. Art. 5 Abs. 4 Bst. c SGK) bzw. ihr ein Schengen-Visum mit räumlich beschränkter Gültigkeit auszustellen (vgl. Art. 25 Abs. 1 Bst. a [ii] der Verordnung [EG] Nr. 810/2009 des Europäischen Parlaments und des Rates vom 13. Juli 2009 über einen Visakodex der Gemeinschaft [Visakodex, Abl. L 243 vom 15. September 2009, S. 1]). Aus Kompetenzgründen steht der Schweiz bzw. deren Behörden diese Möglichkeit für fremde Staaten aber nicht zu.</w:t>
      </w:r>
    </w:p>
    <w:p>
      <w:r>
        <w:rPr>
          <w:b/>
        </w:rPr>
        <w:t>E. 4</w:t>
      </w:r>
    </w:p>
    <w:p>
      <w:r>
        <w:t>Aus den vorstehenden Erwägungen ergibt sich, dass die angefochtene Verfügung rechtsfehlerfrei ist (Art. 49 VwVG). Die Beschwerde ist demzufolge abzuweisen.</w:t>
      </w:r>
    </w:p>
    <w:p>
      <w:r>
        <w:rPr>
          <w:b/>
        </w:rPr>
        <w:t>E. 5</w:t>
      </w:r>
    </w:p>
    <w:p>
      <w:r>
        <w:t>Bei diesem Ausgang des Verfahrens sind dem Beschwerdeführer die Kosten aufzuerlegen (Art. 63 Abs. 1 VwVG i.V.m. Art. 1 ff. des Reglements vom 21. Februar 2008 über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