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C-731/2015 vom 7. November 2017</w:t>
      </w:r>
    </w:p>
    <w:p>
      <w:r>
        <w:t>Bundesverwaltungsgericht, 2017-11-07, IT</w:t>
      </w:r>
    </w:p>
    <w:p>
      <w:r>
        <w:rPr>
          <w:b/>
        </w:rPr>
        <w:t xml:space="preserve">Quelle: </w:t>
      </w:r>
      <w:r>
        <w:t>https://mcp.opencaselaw.ch/entscheid/bvger_C-731_2015</w:t>
      </w:r>
    </w:p>
    <w:p>
      <w:r>
        <w:t>FR: TAF C-731/2015 du 7 novembre 2017</w:t>
      </w:r>
    </w:p>
    <w:p>
      <w:r>
        <w:t>IT: TAF C-731/2015 del 7 novembre 2017</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4 marzo 2015 (doc. TAF 6), il ricorrente ha tempestivamente corrisposto l'anticipo spese richiesto (art. 21 cpv. 3 e 63 cpv. 4 PA).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 caso concreto la domanda di rendita è stata presentata il 22 dicembre 2008 (cfr. consid. B del presente giudizio). Pertanto, si applicano, da un lato, le disposizioni in vigore fino al 31 dicembre 2011, per quanto attiene allo stato di fatto realizzatosi fino a tale data, mentre dall'altro lato, e per il periodo successivo,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16 dicembre 2014.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È incontestato che il ricorrente adempie in ogni caso la condizione della durata minima di contribuzione, avendo pagato contributi all'assicurazione svizzera per la vecchiaia, i superstiti e l'invalidità per più di 3 anni (cfr. doc. 51 e 60).</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5.5</w:t>
      </w:r>
    </w:p>
    <w:p>
      <w:r>
        <w:t>Benché l'invalidità sia una nozione economico-giuridica, le certificazioni mediche possono costituire importanti elementi per apprezzare il danno invalidante e per determinare quali lavori siano ancora ragionevolmente esigibili dall'assicurato (cfr. sentenze del TF 9C_240/2013 del 22 ottobre 2013 consid. 2.1 e 8C_ 671/2011 dell'11 novembre 2011 consid. 3).</w:t>
      </w:r>
    </w:p>
    <w:p>
      <w:r>
        <w:rPr>
          <w:b/>
        </w:rPr>
        <w:t>E. 6</w:t>
      </w:r>
    </w:p>
    <w:p>
      <w:r>
        <w:t>In virtù dell'art. 43 LPGA, nonché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125 V 351 consid. 3).</w:t>
      </w:r>
    </w:p>
    <w:p>
      <w:r>
        <w:rPr>
          <w:b/>
        </w:rPr>
        <w:t>E. 7.2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7.3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7.4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7.5</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8</w:t>
      </w:r>
    </w:p>
    <w:p>
      <w:r>
        <w:t>Nel caso concreto, occorre esaminare se prima dell'emanazione della decisione impugnata del 16 dicembre 2014, l'autorità inferiore abbia proceduto ad un sufficiente accertamento dei fatti giuridicamente rilevanti o avrebbe necessariamente dovuto fare eseguire ulteriori esami medici per potersi determinare con cognizione di causa, secondo il grado della verosimiglianza preponderante valido nelle assicurazioni sociali, sullo stato di salute e sulla capacità lavorativa residua dell'insorgente.</w:t>
      </w:r>
    </w:p>
    <w:p>
      <w:r>
        <w:rPr>
          <w:b/>
        </w:rPr>
        <w:t>E. 9</w:t>
      </w:r>
    </w:p>
    <w:p>
      <w:r>
        <w:t>La decisione impugnata si basa sul rapporto finale del SMR del 14 agosto 2014 (doc. 52), nonché sulla presa di posizione del SMR del 31 ottobre 2014 (doc. 59). Per i motivi che saranno indicati di seguito, si rileva fondata la censura sollevata dal ricorrente d'accertamento insufficiente dei fatti giuridicamente rilevanti avendo i medici dell'amministrazione tratto conclusioni affrettate sulla base di un'istruttoria carente. Infatti, dalla documentazione di cui all'incarto dell'autorità inferiore - di data anteriore alla decisione impugnata -, emerge che il ricorrente, oltre alla diagnosi ritenuta dal medico del SMR di "cervico-dorso-lombalgie croniche in presenza di disturbi degenerativi" (cfr. doc. 52), presenta pure delle problematiche neurologiche e reumatologiche sinora non sufficientemente acclarate e suscettibili d'incidere sulla residua capacità lavorativa dell'interessato.</w:t>
      </w:r>
    </w:p>
    <w:p>
      <w:r>
        <w:rPr>
          <w:b/>
        </w:rPr>
        <w:t>E. 9.1.1</w:t>
      </w:r>
    </w:p>
    <w:p>
      <w:r>
        <w:t>Questo Tribunale osserva in particolare che nella EMG del 20 ottobre 2009 (doc. 6 [ripetuto in doc. 15]), è stato segnalato "marcata sofferenza neurogena, con segni di denervazione in atto nel muscolo tibiale anteriore sinistro (territorio L5); sofferenza neurogena, senza segni di denervazione in atto e con segni di reinnervazione collaterale, nei territori di S1 a sinistra, di L5 a destra, e di C5-C6; lieve sofferenza neurogena nei restanti distretti esplorati". Nella RM cervicale del 23/24 ottobre 2009 (doc. 5 [ripetuto in doc. 16]), è indicato "presenza di diffusi segni di spondilodiscoartrosi a carico del tratto del rachide esaminato con riduzione plurisegmentaria dei diametri del canale spinale, da componente mista discoartrosica anche posteriore da C3 a C7; il disco C6-C7 è marcatamente protruso posteriormente ad ampio raggio con leggera prevalenza a sinistra". Dal certificato dell'ambulatorio di neurochirurgia di C._______ del 6 novembre 2009 (doc. 4 [ripetuto in doc. 17]), risulta inoltre che l'interessato è affetto da "spondilodiscoartrosi lombare e cervicale con interessamento radicolare; all'esame del 9 ottobre 2009 radicolite bilaterale L5 e parestesie agli arti superiori; alla TC ernie discali multiple lombari; all'EMG sofferenza radicolare L5 ed S1 bilaterale con denervazione del tibiale anteriore a sinistra; alla RM cervicale riduzione plurisegmentaria dei diametri del canale spinale da C3 a C7 con protrusione C6-C7; alla EMG cervicale sofferenza neurogena C5-C6".</w:t>
      </w:r>
    </w:p>
    <w:p>
      <w:r>
        <w:rPr>
          <w:b/>
        </w:rPr>
        <w:t>E. 9.1.2</w:t>
      </w:r>
    </w:p>
    <w:p>
      <w:r>
        <w:t>Da parte sua, nel rapporto finale del SMR del 14 agosto 2014 (doc. 52) e nella presa di posizione del 31 ottobre 2014 (doc. 59), il dott. D._______, medico del SMR, specialista in medicina generale, esperto certificato SIM, ha segnalato una possibile radicolopatia in L5, ma ha ritenuto che la stessa, sulla base della perizia medica particolareggiata E 213 del 19 dicembre 2013 (cfr. doc. 39), non presenta deficit motorio o sensitivo.</w:t>
      </w:r>
    </w:p>
    <w:p>
      <w:r>
        <w:rPr>
          <w:b/>
        </w:rPr>
        <w:t>E. 9.1.3</w:t>
      </w:r>
    </w:p>
    <w:p>
      <w:r>
        <w:t>Questo Tribunale ritiene che la valutazione del medico SMR, secondo cui non vi sarebbero affezioni di tipo neurologico suscettibili di avere un'incidenza sulla capacità lavorativa dell'insorgente, non può essere condivisa. Innanzitutto, nonostante i referti menzionati (cfr. consid. 9.1.1 della presente sentenza), tra cui figura un certificato di un ambulatorio di neurochirurgia, indichino la presenza di verosimili problematiche neurologiche - segnatamente attestano la presenza di sofferenze neurogene, di protrusioni discali, di radicolite bilaterale, parestesie, nonché di ernie discali - si rileva che il medico SMR, peraltro non specialista in neurologia, ha "scartato" la menzionata documentazione medica fondandosi sulla perizia medica particolareggiata E 213 del 19 dicembre 2013 (doc. 39). Tuttavia - e a prescindere dal fatto che il referto Xgrafico della colonna vertebrale eseguito il 14 marzo 2012 menzionato in detta perizia particolareggiata (cfr. doc. 39 pag. 7) non risulta agli atti di cui all'incarto dell'autorità inferiore -, la menzionata perizia particolareggiata E 213 non appare essere stata redatta da un neurologo, è estremamente generica (riportando indicazioni quanto allo stato di salute dell'interessato succinte e a tratti lacunose, non essendo infatti stata data alcuna risposta a diverse domande di detto questionario medico), e non è dato sapere se la documentazione medica di cui al consid. 9.1.1 della presente sentenza sia stata esaminata dal medico incaricato dell'esame (manca comunque una qualsiasi indicazione precisa al riguardo). Basti ancora rilevare che un approfondimento istruttorio si rendeva e rende necessario anche in virtù delle risultanze di cui al verbale della Commissione medica italiana per l'accertamento dell'invalidità civile, delle condizioni visive e della sordità del 18 giugno 2012 (prodotto dall'insorgente con le osservazioni al progetto di decisione [cfr. doc. 56 pag. 1 e 2]) con riferimento alla constatata incapacità lavorativa del 46%. Questa valutazione dell'incapacità lavorativa, benché non vincolante per le autorità svizzere, non può essere senz'altro scartata, senza ulteriori approfondimenti medici oggettivi o almeno una solida motivazione, che nella fattispecie fanno difetto. Ne consegue che l'istruttoria risulta insufficiente già dal profilo delle affezioni neurologiche evidenziate.</w:t>
      </w:r>
    </w:p>
    <w:p>
      <w:r>
        <w:rPr>
          <w:b/>
        </w:rPr>
        <w:t>E. 9.2</w:t>
      </w:r>
    </w:p>
    <w:p>
      <w:r>
        <w:t>Peraltro, anche dal profilo reumatologico, l'istruttoria va necessariamente completata conto tenuto che non è stato eseguito nessun accertamento specialistico approfondito quanto al diffuso quadro artrosico di cui soffre l'insorgente, segnatamente la spondilodiscoartrosi lombare e cervicale (cfr. doc. 4 [ripetuto in doc. 17], 5 [ripetuto in doc. 16], 7, 39 e 52).</w:t>
      </w:r>
    </w:p>
    <w:p>
      <w:r>
        <w:rPr>
          <w:b/>
        </w:rPr>
        <w:t>E. 9.3</w:t>
      </w:r>
    </w:p>
    <w:p>
      <w:r>
        <w:t>Ne discende che, in assenza di sufficienti accertamenti, segnatamente in ambito reumatologico e neurologico, l'istruttoria eseguita dall'autorità inferiore si rileva carente. Non risulta altresì possibile, in tali condizioni, determinarsi, con il grado della verosimiglianza preponderante valido nelle assicurazioni sociali, sullo stato di salute dell'insorgente e la relativa conseguenza sulla sua residua capacità lavorativa.</w:t>
      </w:r>
    </w:p>
    <w:p>
      <w:r>
        <w:rPr>
          <w:b/>
        </w:rPr>
        <w:t>E. 10</w:t>
      </w:r>
    </w:p>
    <w:p>
      <w:r>
        <w:t>In conclusione, la decisione impugnata del 16 dicembre 2014, fondata su un accertamento insufficiente dei fatti giuridicamente rilevanti, viola il diritto federale e deve essere annullata.</w:t>
      </w:r>
    </w:p>
    <w:p>
      <w:r>
        <w:rPr>
          <w:b/>
        </w:rPr>
        <w:t>E. 11.1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una perizia interdisciplinare reumatologica e neurologica non essendo sufficiente esaminare le affezioni mediante perizie isolate (cfr. sentenza del TF 9C_ 235/2013 del 10 settembre 2013 consid. 3.2 con rinvii; cfr., anche, sulla possibilità di un rinvio all'autorità inferiore in siffatte circostanze [accertamento manifestamente insufficiente dei fatti giuridicamente rilevanti da parte dell'autorità inferiore, detta autorità non avendo fatto eseguire la necessaria perizia interdisciplinare] DTF 137 V 210 consid. 4.4.1.4), e con ogni ulteriore esame che l'evoluzione nel tempo dello stato di salute della ricorrente dovesse rendere necessario, nonché a pronunciare una nuova decisione.</w:t>
      </w:r>
    </w:p>
    <w:p>
      <w:r>
        <w:rPr>
          <w:b/>
        </w:rPr>
        <w:t>E. 11.2</w:t>
      </w:r>
    </w:p>
    <w:p>
      <w:r>
        <w:t>Giova altresì ancora rilevare che in considerazione dell'esito della lite, l'ulteriore censura sollevata dal ricorrente, segnatamente quella sulla valutazione economica (cfr. consid. H del presente giudizio e doc. TAF 11 [atto di replica]), può restare indecisa, l'autorità inferiore dovendo nuovamente pronunciarsi sul caso.</w:t>
      </w:r>
    </w:p>
    <w:p>
      <w:r>
        <w:rPr>
          <w:b/>
        </w:rPr>
        <w:t>E. 11.3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16 dicembre 2014 l'autorità inferiore ha respinto la richiesta di rendita formulata dall'interessato.</w:t>
      </w:r>
    </w:p>
    <w:p>
      <w:r>
        <w:rPr>
          <w:b/>
        </w:rPr>
        <w:t>E. 12.1</w:t>
      </w:r>
    </w:p>
    <w:p>
      <w:r>
        <w:t>Visto l'esito della causa, non sono prelevate delle spese processuali (art. 63 PA). L'anticipo equivalente alle presunte spese processuali di fr. 400.-, versato il 4 marzo 2015, sarà restituito al ricorrente allorquando il presente giudizio sarà cresciuto in giudicato.</w:t>
      </w:r>
    </w:p>
    <w:p>
      <w:r>
        <w:rPr>
          <w:b/>
        </w:rPr>
        <w:t>E. 12.2</w:t>
      </w:r>
    </w:p>
    <w:p>
      <w:r>
        <w:t>Ritenuto che l'insorgente è rappresentato in questa sede da mandatario professionale, si giustifica altresì l'attribuzione di spese ripetibili (art. 64 PA in combinazione con gli art. 7 e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(compresi i disborsi ed esclusa l'imposta sull'IVA [cfr., fra le tante, sentenza del TAF C-995/2014 del 9 marzo 2017 consid. 10.2 con rinvii]), tenuto conto del lavoro utile e necessario (relativamente limitato)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