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C-7317/2009 vom 9. September 2011</w:t>
      </w:r>
    </w:p>
    <w:p>
      <w:r>
        <w:t>Bundesverwaltungsgericht, 2011-09-09, FR</w:t>
      </w:r>
    </w:p>
    <w:p>
      <w:r>
        <w:rPr>
          <w:b/>
        </w:rPr>
        <w:t xml:space="preserve">Quelle: </w:t>
      </w:r>
      <w:r>
        <w:t>https://mcp.opencaselaw.ch/entscheid/bvger_C-7317_2009</w:t>
      </w:r>
    </w:p>
    <w:p>
      <w:r>
        <w:t>FR: TAF C-7317/2009 du 9 septembre 2011</w:t>
      </w:r>
    </w:p>
    <w:p>
      <w:r>
        <w:t>IT: TAF C-7317/2009 del 9 settembre 2011</w:t>
      </w:r>
    </w:p>
    <w:p>
      <w:pPr>
        <w:pStyle w:val="Heading2"/>
      </w:pPr>
      <w:r>
        <w:t>Regeste</w:t>
      </w:r>
    </w:p>
    <w:p>
      <w:r>
        <w:t>Evaluation de l'invalidité</w:t>
      </w:r>
    </w:p>
    <w:p>
      <w:pPr>
        <w:pStyle w:val="Heading2"/>
      </w:pPr>
      <w:r>
        <w:t>Erwägungen</w:t>
      </w:r>
    </w:p>
    <w:p>
      <w:r>
        <w:rPr>
          <w:b/>
        </w:rPr>
        <w:t>E. 1.1</w:t>
      </w:r>
    </w:p>
    <w:p>
      <w:r>
        <w:t>Pour le surplus, déposé en temps utile et dans les formes requises par la loi (art. 60 LPGA et 52 PA), le recours est donc recevable quant à la forme.</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Il sied à ce propos de signaler que depuis le 1er mai 2010, les règlements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de l'Office fédéral des assurances sociales [OFAS]).</w:t>
      </w:r>
    </w:p>
    <w:p>
      <w:r>
        <w:rPr>
          <w:b/>
        </w:rPr>
        <w:t>E. 3.4</w:t>
      </w:r>
    </w:p>
    <w:p>
      <w:r>
        <w:t>S'agissant du droit applicable, il convient encore de préciser qu'à partir du 1er janvier 2004, la présente procédure est régie par la teneur de la LAI modifiée par la novelle du 21 mars 2003 (4e révision; RO 2003 3837) et qu'à partir du 1er janvier 2008, ce sont les dispositions de la LAI et de la LPGA introduites ou modifiées par la novelle du 6 octobre 2006 (5e révision; RO 2007 5129) qui s'appliquent,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dispositions topiques sont donc citées dans le présent arrêt dans leur teneur en vigueur au 1er janvier 2008, sauf mention contraire. Cela étant, la 5e révision de la LAI, n'a pas modifié la notion d'invalidité, ni la manière d'évaluer le taux d'invalidité.</w:t>
      </w:r>
    </w:p>
    <w:p>
      <w:r>
        <w:rPr>
          <w:b/>
        </w:rPr>
        <w:t>E. 4</w:t>
      </w:r>
    </w:p>
    <w:p>
      <w:r>
        <w:t>Malgré l'accès au dossier qu'il admet avoir consulté, le recourant dit ignorer les éléments sur lesquels s'est fondée l'autorité inférieure pour retenir une perte de gain de 27% dans la décision litigieuse qu'il estime insuffisamment motivée. Il se plaint ainsi d'une violation du droit d'être entendu, droit dont le respect est examiné d'office par la Cour de céans (cf. ATF 120 V 357 consid. 2a).</w:t>
      </w:r>
    </w:p>
    <w:p>
      <w:r>
        <w:rPr>
          <w:b/>
        </w:rPr>
        <w:t>E. 4.1.1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2ème éd., Berne 2006, n. 1346 ;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4.1.2</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 Il n'y a violation du droit d'être entendu que si l'autorité ne satisfait pas à son devoir minimum d'examiner les problèmes pertinents (ATF 133 III 439 consid. 3.3 p, ATF 130 II 530 consid. 4.3).</w:t>
      </w:r>
    </w:p>
    <w:p>
      <w:r>
        <w:rPr>
          <w:b/>
        </w:rPr>
        <w:t>E. 4.1.3</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 / Georg Müller / Felix Uhlmann, Allgemeines Verwaltungsrecht, 5e éd., Zurich/Bâle/Genève 2006, n° 1711; Auer / Malinverni / Hottelier, op. cit., n° 1347 s). La réparation d'un vice éventuel doit cependant demeurer l'exception (ATF 127 V 431 consid. 3d/aa; ATF 126 V 130 consid. 2b).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w:t>
      </w:r>
    </w:p>
    <w:p>
      <w:r>
        <w:rPr>
          <w:b/>
        </w:rPr>
        <w:t>E. 4.2.1</w:t>
      </w:r>
    </w:p>
    <w:p>
      <w:r>
        <w:t>Dans le cas particulier, l'autorité a tout d'abord procédé par préavis ainsi que l'art. 57a LAI l'exige, en dérogation par ailleurs à l'art. 52 LPGA. Selon l'art. 73bis al. 1 RAI, le préavis ne porte que sur des questions qui relèvent des attributions des offices au sens de l'art. 57 al. 1 let. a à d LAI. Or, la 5e révision de l'AI a modifié l'art 57 LAI et par inadvertance rédactionnelle l'art. 73bis al. 1 RAI n'a pas été adapté en conséquence. Ainsi ce sont les lit. a à f de l'art. 57 al. 1 LAI qui sont concernées par la procédure obligatoire de préavis (cf. Urs Müller, Das Verwaltungsverfahren in der Invalidenversicherung, Berne 2010, ch. 2067, p. 409). Cette procédure institutionalise en quelque sorte le droit d'être entendu avant la prise de décision (Müller, op. cit, ch. 2059, p. 408; Stéphane Blanc, La procédure administrative en assurance-invalidité, Fribourg 1999, p. 219). Son but est de permettre à l'assuré de se prononcer sur le résultat de la procédure probatoire d'établissement des faits et de lui expliquer, cas échéant, les motifs qui vont conduire à la décision dont le projet est soumis (cf. Michel Valterio, Droit de l'assurance-vieillesse et survivants [AVS] et de l'assurance-invalidité [AI], Zuerich/Genève/Bâle 2011, ch. 2954, p. 806). En associant plus étroitement l'assuré à la prise de décision le concernant, on favorise l'acceptation des décisions en matière AI (cf. ATF 134 V 97 consid. 2.7). Pour qu'une telle procédure soit réellement efficace, il est nécessaire de joindre en principe au projet de décision la documentation déterminante qui a permis à l'autorité de se forger son opinion (cf. ATAF 2010/35 consid. 4.3.2). Cela étant, l'assuré ne doit pas rester inactif dans cette procédure; l'objectif étant précisément d'instaurer un dialogue avec lui. Il dispose de 30 jours pour faire part de ses observations à l'office AI compétent. Il lui revient par exemple, cas échéant, d'offrir des preuves complémentaires ou de demander des éclaircissements.</w:t>
      </w:r>
    </w:p>
    <w:p>
      <w:r>
        <w:rPr>
          <w:b/>
        </w:rPr>
        <w:t>E. 4.2.2</w:t>
      </w:r>
    </w:p>
    <w:p>
      <w:r>
        <w:t>En l'espèce le projet de décision s'intitule (comme la décision finale) "réussite des mesures professionnelles" et constate le succès du reclassement professionnel du recourant, la perte de gain subie étant de l'ordre de 27% entre le salaire sans invalidité de mécanicien et le salaire auquel le recourant pourrait prétendre en tant qu'ouvrir en horlogerie, avec une capacité de travail de 80%. On peut tout d'abord s'interroger sur la nature d'une telle décision (ou projet de décision) étant entendu que l'objet d'une décision de constatation au sens de l'art. 5 al. 1 let. b PA concerne toujours l'existence ou l'inexistence d'un rapport de droit, mais pas de constatations de fait (cf. arrêt du Tribunal fédéral [TF] 9C_93/2008 du 19 janvier 2009 consid. 4; ATF 130 V 388 consid. 2.5). Ainsi, l'issue d'une mesure de reclassement ne peut pas faire en soi l'objet d'une décision de constatation (arrêt du TF I 712/03 du 22 mars 2004 consid.3.3.4, ég. U 287/02 du 18 février 2003 consid. 1.4; Müller, op. cit. ch. 2973, p. 812). Le dépôt d'une demande de prestations AI a en principe pour effet de sauvegarder tous les droits envers l'assurance existant à ce moment-là, quand bien même ils ne sont pas tous indiqués dans la demande, et pour autant que ces droits soient dans un rapport raisonnable avec la demande initiale (Müller, op. cit. ch. 748, p. 734; Valterio, op. cit. ch. 2847, p. 779; Blanc, op. cit., p. 48). Ce principe est surtout important lorsque l'assuré prétend plus tard avoir droit à une autre prestation que celle qu'il a demandée. Néanmoins l'office AI est tenu d'examiner d'office le droit à toutes les prestations en corrélation avec les indications fournies (cf. Jurisprudence et pratique administrative des autorités d'exécution de l'AVS/AI [Pratique VSI] 4/2008, p. 211, consid. 2a). Dans ce contexte, il faut comprendre dite décision comme un projet de rejet de la prestation "rente". Et c'est par ailleurs bien ainsi que l'a comprise le recourant. Toutefois, il ne s'est pas opposé à ce projet, pas plus qu'il n'a demandé des explications sur le calcul du taux d'invalidité; sans doute parce que des explications lui avaient déjà été fournies à sa demande sur ce sujet lors d'un entretien du 18 juin 2009 (pce 65). Au contraire, il a, par téléphone du 7 octobre 2009, requis l'accélération de la procédure afin de pouvoir s'inscrire à l'assurance-chômage (pce 84). C'est pourquoi l'autorité inférieure a prononcé une décision finale le 16 octobre 2009, soit avant l'écoulement du délai de 30 jours pendant lequel l'assuré peut communiquer ses observations à l'encontre du projet. Si le recourant ne se manifeste pas pendant la procédure d'audition, il n'en perd pas pour autant ses moyens de droit à l'encontre de la décision finale. Il lui est toutefois plus téméraire de se plaindre ensuite d'une violation de son droit d'être entendu. Il est indéniable que l'autorité aurait dû joindre à son projet le rapport final de réadaptation qui contient notamment le calcul de l'invalidité. La Cour de céans l'a rappelé à moult reprises (ATAF 2010/35, C-6355/2009 du 4 mars 2010, C-18/2010 du 21 avril 2010, C-4092/2010 du 5 août 2010, C-5247/2010 du 26 octobre 2010, C-2189/2009 du 20 avril 2011). Mais compte tenu de la situation telle qu'elle vient d'être décrite, on peut sérieusement se demander si dans le cas présent, on est bien en présence d'une violation du droit d'être entendu. La question peut souffrir de rester ouverte puisque le recourant a pu s'exprimer à ce sujet dans un deuxième échange d'écriture devant le TAF et que compte tenu du plein pouvoir d'examen de celui-ci, la violation du droit d'être entendu si elle était avérée serait guérie, ce d'autant plus qu'un renvoi de la cause retarderait inutilement la procédure, ce qui n'est pas dans l'intérêt de l'assuré.</w:t>
      </w:r>
    </w:p>
    <w:p>
      <w:r>
        <w:rPr>
          <w:b/>
        </w:rPr>
        <w:t>E. 5</w:t>
      </w:r>
    </w:p>
    <w:p>
      <w:r>
        <w:t>Dans un deuxième grief, le recourant se prévaut du droit à la protection de la bonne foi pour obtenir une demi-rente au moins, au motif que la psychologue et conseillère en réadaptation professionnelle auprès de l'OCAI-GE lui aurait indiqué qu'à l'issue de la mesure de réadaptation professionnelle, un quart voire une demi-rente lui serait allouée, ainsi qu'il l'a rappelé lors d'un entretien du 18 juin 2009 (pce 65).</w:t>
      </w:r>
    </w:p>
    <w:p>
      <w:r>
        <w:rPr>
          <w:b/>
        </w:rPr>
        <w:t>E. 5.1</w:t>
      </w:r>
    </w:p>
    <w:p>
      <w:r>
        <w:t>Le principe de la bonne foi est inscrit à l'article 2 du Code civil suisse du 10 décembre 1907 (CC; RS 210), qui dispose que l'abus manifeste d'un droit n'est pas protégé par la loi, et découle directement de l'article 9 de la Constitution fédérale de la Confédération suisse du 18 avril 1999 (Cst., RS 101), qui prévoit que toute personne a le droit d'être traitée par les organes de l'Etat sans arbitraire et conformément aux règles de la bonne foi. Selon la jurisprudence, ce principe est aussi valable en droit public. Il doit être subdivisé en trois sous-principes: le principe de la bonne foi proprement dite, le principe de la confiance et l'interdiction de l'abus de droit. Le principe de la bonne foi proprement dite, le seul à entrer éventuellement en considération dans le cas d'espèce, contraint, selon la jurisprudence, l'autorité à honorer sa promesse ou à satisfaire les expectatives créées, même si la promesse ou l'expectative sont illégales. Il est soumis à cinq conditions: l'autorité doit avoir agi dans un cas concret et vis-à-vis d'une personne déterminée; l'autorité qui a agi doit avoir été compétente ou être censée avoir été compétente; l'administré ne devait pas pouvoir se rendre compte immédiatement de l'illégalité du comportement, de l'assurance, du renseignement ou de la promesse de l'administration; l'administré doit, se fondant sur les déclarations ou le comportement de l'administration, avoir pris des dispositions qu'il ne saurait modifier sans subir un préjudice; enfin, il faut que la législation ne se soit pas modifiée entre le moment où l'autorité a fait ses déclarations ou a eu son comportement et celui où le principe de la bonne foi est invoqué (cf. ATF 131 II 627 consid. 6.1 et les références citées; Pierre Moor, Droit administratif, vol. I, 2e éd., Berne 1994, n. 5.3.2.2 p. 433).</w:t>
      </w:r>
    </w:p>
    <w:p>
      <w:r>
        <w:rPr>
          <w:b/>
        </w:rPr>
        <w:t>E. 5.2</w:t>
      </w:r>
    </w:p>
    <w:p>
      <w:r>
        <w:t>Or ce grief ne résiste pas à l'examen. D'une part, le recourant ne précise pas à quel moment sa conseillère lui aurait donné l'assurance qu'il recevrait une rente partielle. Aucune des notes d'entretien figurant au dossier ne fait état de cet échange, si ce n'est la note d'entretien du 18 juin 2009 durant lequel le recourant rappelle ce fait à une autre collaboratrice de l'OCAI-GE. L'autorité inférieure nie du reste tout comportement illicite de son employée. Elle relève à juste titre que dans un premier temps, la comparaison des revenus effectués en 2005 par l'employée mise en cause laissait apparaître, avant la mise en place des mesures de réadaptation, une invalidité probable de 15% après le reclassement (pce 30). Ce taux étant très nettement inférieur au seuil nécessaire pour obtenir une rente, il est peu plausible que l'employée ait alors évoqué la possibilité d'une rente. Si la capacité résiduelle de travail du recourant était dans un premier temps limitée à 50%, il était admis qu'après récupération, une capacité de travail pleine et entière subsistait dans une activité industrielle légère sans champs magnétiques. Il a toujours été clair que l'objectif des mesures était de réinsérer le recourant dans une activité à plein temps. Ainsi, il n'est pas possible de déterminer le contenu exact de l'entretien que le recourant dit avoir eu avec la collaboratrice incriminée. Dès lors que les propos tenus relèvent uniquement d'allégations d'une partie - et ne peuvent être établis à satisfaction de droit -, on ne saurait admettre, au degré de la vraisemblance prépondérante requise, que le recourant a été induit en erreur par la collaboratrice de l'autorité inférieure.</w:t>
      </w:r>
    </w:p>
    <w:p>
      <w:r>
        <w:rPr>
          <w:b/>
        </w:rPr>
        <w:t>E. 5.3</w:t>
      </w:r>
    </w:p>
    <w:p>
      <w:r>
        <w:t>De surcroît, s'il fallait admettre qu'une assurance fut donnée au recourant, celui-ci n'a pas par la suite réglé sa conduite d'après ce renseignement. Il ne prétend d'ailleurs pas avoir pris des dispositions qui l'engageraient de manière irrévocable ou qu'au prix d'un préjudice important. Ainsi les arguments avancés par le recourant ne sont pas propres à fonder un droit à la protection de la bonne foi.</w:t>
      </w:r>
    </w:p>
    <w:p>
      <w:r>
        <w:rPr>
          <w:b/>
        </w:rPr>
        <w:t>E. 6</w:t>
      </w:r>
    </w:p>
    <w:p>
      <w:r>
        <w:t>Il reste donc à examiner si finalement l'autorité inférieure était en droit d'exclure toute prétention du recourant à une rente de l'assurance-invalidité. En préambule, la Cour de céans remarque que le recourant a été mis au bénéfice d'une mesure de reclassement. Un assuré a droit au reclassement dans une nouvelle profession si son invalidité rend cette mesure nécessaire et si sa capacité de gain peut ainsi, selon toute vraisemblance, être maintenue ou améliorée (art. 17 LAI, lequel n'a pas subi de modification lors de la 5e révision). Tel n'est en principe pas le cas si l'assuré ne subit pas, même en l'absence d'une telle mesure de reclassement, une diminution de sa capacité de gain de l'ordre de 20% au moins (ATF 124 V 108 consid. 2b, Ulrich Meyer-Blaser, Rechtsprechung des Bundesgerichts zum IVG, Zurich 1997, ad. art. 17). La perte de gain est calculée selon les mêmes principes que ceux appliqués lors de la détermination du degré d'invalidité dans le cas du droit à une rente (Revue à l'attention des caisses de compensation [RCC] 1984 p. 95; Pratique VSI 2/2000 p. 63). La rééducation dans la même profession est assimilée au reclassement (art. 17 al. 2 LAI). Selon l'art. 16 LPGA, la réadaptation est prioritaire par rapport à l'octroi de la rente, laquelle est versée dans la mesure où la réadaptation a échoué (cf. ATF 126 V 241 consid. 5, ATF 108 V 210 consid. 1d). Or en l'espèce, les tâches accomplies par le recourant dans son ancienne activité n'apparaissaient pas incompatibles avec ses limitations fonctionnelles. Seul l'environnement dans lequel il exerçait son métier était inapproprié. En effet, porteur d'un pace-maker, pour des raisons évidentes, il lui fallait absolument éviter la proximité de champs magnétiques puissants. On peut donc se demander si la diminution de sa perte de gain avoisinait effectivement les 20% avant le reclassement et si la mesure choisie par l'autorité était donc bien nécessaire. Toutefois, cette question sort de l'objet du litige en cause.</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7.3</w:t>
      </w:r>
    </w:p>
    <w:p>
      <w:r>
        <w:t>L'assuré a droit à un quart de rente s'il est invalide à 40% au moins, à une demi-rente s'il est invalide à 50%, à trois-quarts de rente s'il est invalide à 60% et à une rente entière s'il est invalide à 70% au moins (art. 28 al. 1 LAI).</w:t>
      </w:r>
    </w:p>
    <w:p>
      <w:r>
        <w:rPr>
          <w:b/>
        </w:rPr>
        <w:t>E. 8.1</w:t>
      </w:r>
    </w:p>
    <w:p>
      <w:r>
        <w:t>Conformément à l'art. 28 al. 1 LAI, l'assuré a droit à une rente aux conditions cumulatives suivantes: sa capacité de gain ou d'accomplir ses travaux habituels ne peut pas être rétablie, maintenue ou améliorée par des mesures de réadaptation raisonnablement exigibles (lettre a), il a présenté en moyenne, une incapacité de travail de 40% au moins pendant une année sans interruption notable (lettre b; ATF 121 V 264 ss) et au terme de cette année, il est invalide à 40% au moins (lettre c). D'après la jurisprudence constante du Tribunal fédéral, la lettre b signifie que l'état de santé est labile, c'est-à-dire susceptible d'une amélioration ou d'une aggravation (ATF 111 V 21 consid. 2; ATF 99 V 98 consid. 1; ATF 96 V 42 consid. 1). Le délai d'attente selon l'art. 28 al. 1 let. b LAI est réputé avoir commencé dès qu'il a été possible de constater une incapacité de travail de 20% (cf. chiffre marginal 2010 de la Circulaire concernant l'invalidité et l'impotence dans sa teneur au 1er janvier 2008; Pratique VSI 1998 p. 126 consid. 3c).</w:t>
      </w:r>
    </w:p>
    <w:p>
      <w:r>
        <w:rPr>
          <w:b/>
        </w:rPr>
        <w:t>E. 8.2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9.1</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(cf. arrêt du TF I 936/05 du 2 avril 2007 consid. 3.3 et les références citées)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9.2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10</w:t>
      </w:r>
    </w:p>
    <w:p>
      <w:r>
        <w:t>Le recourant se plaint d'arbitraire dans l'établissement des faits au prétexte que les répercussions de l'atteinte ophtalmologique sur la capacité de travail du recourant n'auraient pas été tranchées et qu'il n'a pas été tenu compte du trouble dépressif dont souffrirait le recourant depuis 2002.</w:t>
      </w:r>
    </w:p>
    <w:p>
      <w:r>
        <w:rPr>
          <w:b/>
        </w:rPr>
        <w:t>E. 10.1</w:t>
      </w:r>
    </w:p>
    <w:p>
      <w:r>
        <w:t>En mai 2009, le recourant a été adressé par son cardiologue au service ophtalmologique des HUG. Les examens entrepris ont montré un status ophtalmologique entièrement normal, avec toutefois un déficit du champ visuel compatible avec un AVC ischémique qui aurait eu lieu en 2003. La conduite n'est pas prohibée par le médecin qui estime simplement préférable que le patient y renonce tout en lui laissant le soin d'évaluer lui-même la situation. De l'aveu même du recourant (entretien de juin 2009, pce 65), il ne s'était jamais rendu compte avant ce diagnostic de la limitation de son champ de vision, cette atteinte devait donc avoir peu d'impact sur sa vie professionnelle et quotidienne. On remarquera d'ailleurs qu'il a effectué son travail durant sa formation en horlogerie sans qu'aucune déficience ne soit relevée à ce sujet. Sans doute parce que l'hémianopsie homonyme dont il souffre affecte la vision latérale et non centrale. Consulté au sujet de ces résultats, le cardiologue n'était bien entendu pas habilité à répondre, aussi a-t-il demandé l'avis de l'ophtalmologue traitant du recourant, qui ne figure pas au dossier. On ne peut que regretter l'absence d'une détermination claire et sans équivoque à ce sujet. Mais cela n'est malgré tout pas de nature à invalider la décision pour effectuer un complément d'instruction. En effet, il ressort de manière suffisamment convaincante des pièces figurant au dossier et du complexe de faits, que cette limitation ne saurait à elle seule engendrer une incapacité de travail importante. Il faut répéter avec l'autorité inférieure que le taux d'activité retenu pour le recourant de 80% tient compte de son état de santé global.</w:t>
      </w:r>
    </w:p>
    <w:p>
      <w:r>
        <w:rPr>
          <w:b/>
        </w:rPr>
        <w:t>E. 10.2</w:t>
      </w:r>
    </w:p>
    <w:p>
      <w:r>
        <w:t>S'agissant du trouble dépressif, on ne peut que s'étonner, s'il est aussi important que le prétend le recourant, qu'il n'en fasse état qu'en instance de recours, reprochant à l'autorité inférieure ne pas avoir investigué ce point. Aucun indice dans le dossier ne permettait à l'autorité inférieure de soupçonner une atteinte à la santé psychique susceptible d'être de nature invalidante. Le premier rapport de réadaptation professionnelle établi le 17 mars 2005 évoque des angoisses et dépression consécutives à sa première sortie d'hôpital après la transplantation cardiaque en 2003 (pce 30). Il avait dû alors réintégrer l'hôpital et procéder à une sortie progressive. Il affirme maintenant souffrir de dépression depuis 2002, sans rien produire à l'appui de ses allégations, si ce ne sont deux ordonnances de novembre 2009 pour deux antidépresseurs différents prescrits sous forme de comprimés aux doses les plus faibles ainsi qu'une attestation du 14 avril 2010 de la Dre C._______, médecin psychiatre au Service de transplantation des HUG, qui certifie que le recourant présente un trouble dépressif depuis mai 2009 environ et qu'elle le suit depuis novembre 2009. Non seulement le diagnostic retenu dans ce certificat ne s'appuie pas lege artis sur les critères d'un système de classification reconnue (cf. ATF 130 V 396 consid. 5.3 et 6), mais il ne s'exprime absolument pas sur les incidences du diagnostic sur la capacité de travail du recourant et ne remplit aucunement les exigences de la jurisprudence (cf. consid. 9.2). Le recourant se méprend lorsqu'il tente de faire supporter à l'autorité inférieure la charge de la preuve à ce sujet. Il est vrai que la procédure dans le domaine des assurances sociales fait prévaloir la procédure inquisitoriale (art. 43 LPGA), de sorte qu'il appartient à l'administration de prendre d'office les mesures d'instruction nécessaires et de recueillir les renseignements dont elle a besoin. Toutefois,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19 PA en relation avec art. 40 de la loi fédérale de procédure civile fédérale du 4 décembre 1947 PCF, [RS 273]; ATF 117 V 261, ATF 116 V 23, ATF 115 V 133 consid. 8a et les références citées). Plutôt que d'apporter la preuve de ses allégations dans la procédure devant l'instance de céans, le recourant se cantonne à relever dans le dossier les signes qui auraient dû inciter l'autorité inférieure à instruire cet aspect. Lorsqu'il prétend dans son recours qu'une capacité de concentration déficiente, des difficultés de mémorisation, des pertes de mémoires, une extrême lenteur, des absences, une extrême fatigabilité et des angoisses ont été observées "tout au long des mesures d'observation professionnelle et des stages en entreprise", on s'interroge quant à ce qu'il espère tirer d'un tel constat au demeurant erroné. Une certaine lenteur dans le rendement est effectivement régulièrement relevée, attribuée à la fatigue laquelle s'explique, d'une part, par la médication et, d'autre part, par le manque de pratique. Cette lenteur dans l'accomplissement des tâches professionnelles n'a jamais été qualifiée d'extrême au contraire, il est dit "une certaine lenteur" (pce 36), qu'il est capable d'améliorer son rendement (pce 77), qu'il est un peu lent par rapport au rythme de l'industrie (pce 81). Il en va de même de la fatigue, plusieurs fois relevée sans être qualifiée d'extrême, et qui a motivé en partie le taux réduit d'activité exigible. Contrairement à ce qu'il avance, mis à part la lenteur et finalement la fatigue, tous les rapports de stage pratique sont extrêmement positifs et décrivent une personne motivée avec de l'intérêt pour son travail. C'est le rapport d'observation concernant ses capacités d'apprentissage théoriques qui est plus réservé (pce 54). On y remarque ses lacunes tant en français qu'en mathématique, son extrême lenteur et son manque d'autonomie, son déficit de concentration, une fatigabilité importante et ses difficultés à acquérir de nouvelles connaissances. Mais là encore, les observations en atelier sont globalement positives; c'est l'apprentissage de nouvelles tâches qui nécessitent la compréhension de notions théoriques qui est difficile. C'est pourquoi son aptitude à suivre une formation aboutissant à l'obtention d'un CFC est remise en question et il sera orienté vers une formation en entreprise, laquelle fut un succès. Ainsi, il est difficile de déduire, avec le recourant, de ces éléments un fonctionnement psychiatrique perturbé. Sans doute le recourant éprouve-t-il des angoisses liées à son état de santé et à sa situation professionnelle. Toutefois rien dans le dossier ou dans les pièces qu'il produit en procédure de recours ne laisse penser que ces atteintes ne sont pas surmontables du point de vue de l'assurance-invalidité.</w:t>
      </w:r>
    </w:p>
    <w:p>
      <w:r>
        <w:rPr>
          <w:b/>
        </w:rPr>
        <w:t>E. 10.3</w:t>
      </w:r>
    </w:p>
    <w:p>
      <w:r>
        <w:t>En conséquence, la Cour de céans juge que la documentation disponible permet de conclure, comme l'a fait l'autorité, à l'exigibilité d'une activité professionnelle adaptée à 80%. Il sied encore de préciser que contrairement à ce qu'avance le recourant dans sa réplique, il ne s'agit pas d'un taux d'activité "en milieu protégé" mais bien sur le marché ordinaire du travail.</w:t>
      </w:r>
    </w:p>
    <w:p>
      <w:r>
        <w:rPr>
          <w:b/>
        </w:rPr>
        <w:t>E. 11</w:t>
      </w:r>
    </w:p>
    <w:p>
      <w:r>
        <w:t>Il convient donc encore d'examiner la perte de gain que le recourant subirait dans l'exercice d'une activité exigible à 80%.</w:t>
      </w:r>
    </w:p>
    <w:p>
      <w:r>
        <w:rPr>
          <w:b/>
        </w:rPr>
        <w:t>E. 11.1</w:t>
      </w:r>
    </w:p>
    <w:p>
      <w:r>
        <w:t>L'invalidité dont il faut rappeler qu'il s'agit d'une notion économique et non médicale est évaluée en comparant le revenu que l'intéressé pourrait obtenir en exerçant une activité qu'on peut raisonnablement attendre (revenu d'invalide) sur un marché du travail équilibré avec le revenu qu'il aurait eu s'il n'était pas devenu invalide (revenu sans invalidité). C'est la méthode ordinaire de comparaison des revenus (depuis le 1er janvier 2004: art. 28 al. 2 LAI en corrélation avec l'art. 16 LPGA , depuis le 1er janvier 2008: art. 28a al. 1 LAI en corrélation avec l'art. 16 LPGA). Ne sont pas déterminants les critères médico-théoriques, mais bien plutôt les répercussions de l'atteinte à la santé sur la capacité de gain (cf. par analogie, RAMA 1991 no U 130 p. 270 consid. 3b; voir aussi ATF 114 V 310 consid. 3c). Le fait que le recourant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 contexte, il convient de souligner que ni l'âge, ni la situation familiale ou économique, ni un arrêt prolongé de l'activité professionnelle ou même le refus d'exercer une activité médicalement exigible ne constituent des facteurs propres à influencer l'octroi d'une rente d'invalidité (Arrêt du Tribunal fédéral I 175/04 du 28 janvier 2005 consid. 3; VSI 1999 p. 247 consid. 1; Pratique VSI 1998 p. 296 consid. 3b).</w:t>
      </w:r>
    </w:p>
    <w:p>
      <w:r>
        <w:rPr>
          <w:b/>
        </w:rPr>
        <w:t>E. 11.2</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VSI 1991 p. 332 consid. 3b; cf. ég. ATF 134 V 64 consid. 4.2.1).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On ne saurait toutefois se fonder sur des possibilités d'emploi irréalistes, ou se borner à prendre en considération un genre d'activité quasiment inconnu du marché du travail. On ne peut en effet parler d'une activité raisonnablement exigible au sens de l'art. 28a al. 1 LAI dans la mesure où elle n'est possible que sous une forme tellement restreinte que le marché du travail général ne la connaît pratiquement pas ou qu'à la condition de concessions irréalistes de la part d'un employeur (RCC 1991 p. 332 consid. 3b, 1989 p. 331 consid. 4, arrêt du TF 9C_701/2009 du 1er mars 2010 consid. 3.2.3).</w:t>
      </w:r>
    </w:p>
    <w:p>
      <w:r>
        <w:rPr>
          <w:b/>
        </w:rPr>
        <w:t>E. 11.3.1</w:t>
      </w:r>
    </w:p>
    <w:p>
      <w:r>
        <w:t>En l'absence d'un revenu effectivement réalisé après la survenance de l'atteinte à la santé, la jurisprudence admet pour la détermination du salaire d'invalide, le recours aux données statistiques suisses telles qu'elles ressortent de l'Enquête sur la structure des salaires (ci-après: ESS) publiée par l'Office fédéral de la statistique (ci-après: OFS;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TF I 85/05 du 5 juin 2005).</w:t>
      </w:r>
    </w:p>
    <w:p>
      <w:r>
        <w:rPr>
          <w:b/>
        </w:rPr>
        <w:t>E. 11.3.2</w:t>
      </w:r>
    </w:p>
    <w:p>
      <w:r>
        <w:t>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Des exceptions ne sauraient être admises que si elles sont établies au degré de la vraisemblance prépondérante (ATF 129 V 222 consid. 4.3.1 et la référence). Le Tribunal fédéral a par ailleurs admis qu'il y a lieu dans la comparaison des revenus de tenir compte du fait qu'un assuré touchait un salaire nettement inférieur aux salaires habituels de la branche pour des raisons étrangères à l'invalidité (p. ex. formation professionnelle insuffisante, limitation des possibilités d'emploi en raison du statut de saisonnier), lorsque les circonstances ne permettent pas de supposer que l'assuré s'est contenté d'un salaire plus modeste que celui qu'il aurait pu prétendre (ATF 134 V 322 consid. 4.1 p. 325 et les arrêts cités). Il a précisé que le revenu effectivement réalisé doit être considéré comme nettement inférieur aux salaires habituels de la branche lorsqu'il est inférieur d'au moins 5 % au salaire statistique usuel dans la branche; ce revenu peut, si les autres conditions sont réalisées, justifier un parallélisme des revenus à comparer, lequel doit porter seulement sur la part qui excède le taux déterminant de 5 % (ATF 135 V 297).</w:t>
      </w:r>
    </w:p>
    <w:p>
      <w:r>
        <w:rPr>
          <w:b/>
        </w:rPr>
        <w:t>E. 11.3.3</w:t>
      </w:r>
    </w:p>
    <w:p>
      <w:r>
        <w:t>En l'espèce, pour le salaire sans invalidité, l'autorité inférieure se fonde à juste titre, en application de la jurisprudence précitée, sur le revenu que le recourant retirerait dans sa dernière activité en 2009, tout en appliquant les chiffres 2008, seuls disponibles au moment de la décision, ce qui est sans importance du moment que la même année de référence est utilisée pour les deux termes de l'équation de comparaison. Le calcul se base sur les indications de l'employeur qui mentionne que dès novembre 2002 le recourant aurait gagné mensuellement pour 40 heures par semaine Fr. 4'285 soit annuellement dès 2003 Fr. 55'705.- (Fr. 4'285 x 13; cf pce 8). L'employeur, sollicité par l'autorité inférieure n'a pas été en mesure de communiquer ce que serait le salaire du recourant s'il était toujours à son service en 2009. En conséquence, l'autorité a actualisé les salaires à l'aide de l'indice suisse des salaires, mais s'est trompée dans l'indice de l'année de référence, retenant 2014 qui correspond à l'année 2006, alors qu'il faut choisir l'indice 2003 qui est de 1958. De surcroît, l'établissement du revenu sans invalidité devant être le plus concret possible, il y a lieu d'appliquer l'indice des salaires nominaux pour les hommes dans la branche en question, à savoir l'industrie manufacturée, et qui était de 111.9 en 2003, ce qui donne finalement un revenu annuel de valide de Fr. 59'090.- une fois indexé aux données 2008 (indice 118.7). Le recourant conteste le montant retenu par l'autorité affirmant qu'il serait inférieur au revenu qu'il aurait réalisé sans invalidité, sans en expliquer les motifs ni indiquer un autre montant. Selon la jurisprudence, des possibilité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d'examens (arrêts du TF 8C_938/2009 du 23 septembre 2010 consid. 6.2, 9C_523/2008 du 25 mai 2009 consid. 2.2 et les références). Il est vrai que le revenu retenu pour 2003 (Fr. 55'705.-) est légèrement inférieur de plus de 5% à la moyenne des salaires usuels obtenus par les hommes dans le secteur de la production dans le domaine de la fabrication d'équipements électriques et la mécanique de précision, secteur dans lequel était apparemment employé le recourant en tant que mécanicien auprès de la société X._______ SA. En effet, le salaire de référence dans des activités simples et répétitives dans le secteur privé du domaine considéré selon l'ESS 2002, TA1, était de Fr. 4'841.- par mois pour 40 heures de travail par semaine, soit un revenu annuel de Fr 58'092.-, qui donne en 2003, une fois indexé selon l'indice des salaires nominaux par branche, Fr. 58'775.-. En comparant ces deux revenus, on obtient une différence de 5.22 %. Dès lors, l'autorité inférieure aurait dû, en principe, examiner si les conditions posées par la jurisprudence sur le parallélisme des revenus étaient réalisées, en particulier le point de savoir si le recourant se contentait délibérément d'un revenu modeste. Un tel examen n'était pas nécessaire, puisque qu'il est absolument évident que même en procédant au parallélisme des revenus, l'impact d'une si minime différence - la part excédant le taux déterminant de 5 % est de 0.22 % - sur le taux d'invalidité obtenu n'est pas suffisant pour ouvrir le droit à une rente d'invalidité.</w:t>
      </w:r>
    </w:p>
    <w:p>
      <w:r>
        <w:rPr>
          <w:b/>
        </w:rPr>
        <w:t>E. 11.3.4</w:t>
      </w:r>
    </w:p>
    <w:p>
      <w:r>
        <w:t>Eu égard à la jurisprudence précédemment exposée, le revenu d'invalide doit être fixé selon des valeurs statistiques. L'autorité d'instruction a établi le revenu d'invalide en référence aux données de l'ESS 2006 puis l'a adapté à la durée hebdomadaire de travail et l'a finalement indexé à l'année 2008 pour retenir un salaire annuel de Fr. 62'088.-, ramené à Fr. 49'670.- pour tenir compte d'une capacité de travail de 80%. Elle s'est basée sur la ligne 10 (fabrication et transformation de produit) de la table ESS-TA7, lequel concerne les salaires mensuels bruts selon le domaine d'activité, le niveau des qualifications requises pour le poste de travail et le sexe - Secteur privé et secteur public (Confédération) ensemble. Or, en principe, il y a lieu de se fonder sur la valeur médiane de la table EES-TA1 (secteur privé) dont l'utilisation est prescrit par la jurisprudence (ATF 124 V 321 consid. 3b/aa, arrêts du TF I 708/06 du 23 novembre 2006 consid. 4.6, B 68/03 du 16 décembre 2003 consid. 4.2 ainsi que RAMA 2001 Nr. U 439 p 347 [arrêt U 240/99 du 7 août 2001 consid. 3c/cc]). Toutefois, les circonstances concrètes du cas individuel peuvent justifier le choix d'un secteur spécifique d'activités et/ou le recours à la table EES-TA7, si cela permet à l'assuré de mettre pleinement à profit sa capacité résiduelle de travail et/ou de fixer plus précisément le revenu d'invalide (cf. arrêt du TF 9C_237/2007 du 24 août 2007 consid. 5.1, non publié aux ATF 133 V 545, et les références citées). Dans le cas d'espèce, on peut se demander s'il convenait de s'éloigner de la table ESS-TA1 qui comporte un secteur "horlogerie" qui correspond exactement à la formation acquise par le recourant. De surcroît, l'autorité retient le niveau de qualification 4, ce qui est discutable pour les mêmes raisons. Toutefois, le montant retenu étant plus favorable au recourant, la Cour de céans renonce à s'en écarter, ce d'autant plus que cela n'aurait pas d'influence décisive sur le taux d'invalidité.</w:t>
      </w:r>
    </w:p>
    <w:p>
      <w:r>
        <w:rPr>
          <w:b/>
        </w:rPr>
        <w:t>E. 11.3.5</w:t>
      </w:r>
    </w:p>
    <w:p>
      <w:r>
        <w:t>Comme le recours aux salaires de l'ESS ne permet pas une appréciation très fine en fonction des groupes de professions particuliers ou des régions de travail, la jurisprudence permet de réduire le revenu hypothétique d'invalide, tel qu'il résulte des statistiques. Cette déduction n'est pas automatique; elle ne peut être opérée que si, dans un cas concret, des indices permettent de conclure qu'à cause de l'une ou l'autre de ces caractéristiques, l'assuré n'est pas en mesure d'utiliser sa capacité résiduelle de travail sur le marché ordinaire de l'emploi que contre une rémunération inférieure au salaire moyen correspondant (ATF 134 V 322 consid. 5.1).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à ce titre pas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(Arrêt du TF I 133/07 du 21 janvier 2008, consid. 2.3; ATF 137 V 71, consid. 5 ATF 132 V 393 consid. 3.3, ATF 126 V 75 consid. 6, ATF 123 V 150 consid. 2 et les références). En l'espèce, l'OAIE a consenti un abattement de 15 % sur le revenu d'invalide de l'assuré pour tenir compte de la nécessité d'un travail léger et de son âge. Cette argumentation est bien généreuse du moment que l'activité de reclassement ne concerne déjà que des tâches légères, qu'il n'a jamais été occupé dans des tâches lourdes et que le recourant n'était âgé que de 38 ans au moment de sa transplantation et de 44 ans au moment de la décision litigieuse. Les allégués du recourant à ce sujet tombent complètement à faux lorsqu'il soutient que ces limitations fonctionnelles devraient lui permettre d'obtenir un abattement de 20%. Celles-ci ont déjà été prises en compte dans l'évaluation de l'activité et du taux exigibles. De surcroît, une augmentation de la déduction octroyée n'entrainerait de toute manière aucune modification de la décision litigieuse, le taux d'invalidité restant en deçà des 40% ouvrant le droit à une rente. Le revenu d'invalide est donc fixé à Fr. 42'220.-.</w:t>
      </w:r>
    </w:p>
    <w:p>
      <w:r>
        <w:rPr>
          <w:b/>
        </w:rPr>
        <w:t>E. 11.3.6</w:t>
      </w:r>
    </w:p>
    <w:p>
      <w:r>
        <w:t>Le calcul comparatif des revenus fait apparaître un préjudice économique de 29% (Fr. 59'090 - Fr. 42'220 X 100 / Fr 59'090) une fois arrondi au pour-cent supérieur (ATF 130 V 121 consid. 3.2), pour une activité exigible à 80%, ce qui n'ouvre pas le droit à une rente.</w:t>
      </w:r>
    </w:p>
    <w:p>
      <w:r>
        <w:rPr>
          <w:b/>
        </w:rPr>
        <w:t>E. 11.4</w:t>
      </w:r>
    </w:p>
    <w:p>
      <w:r>
        <w:t>Compte tenu de ce qui précède, le recours doit être rejeté et la décision du 16 octobre 2009 en ce qu'elle rejette l'octroi d'une rente, confirmée.</w:t>
      </w:r>
    </w:p>
    <w:p>
      <w:r>
        <w:rPr>
          <w:b/>
        </w:rPr>
        <w:t>E. 12.1</w:t>
      </w:r>
    </w:p>
    <w:p>
      <w:r>
        <w:t>Le recourant, qui succombe, doit donc s'acquitter des frais de justice fixés, compte tenu de la charge liée à la procédure, à Fr. 400.- (art 63 al. 1 du règlement du 21 février 2008 concernant les frais, dépens et indemnités fixés par le Tribunal administratif fédéral [FITAF, RS 173.320.2] et 69 al. 2 LAI). Ils sont compensés par l'avance de frais déjà versée de Fr. 400.-.</w:t>
      </w:r>
    </w:p>
    <w:p>
      <w:r>
        <w:rPr>
          <w:b/>
        </w:rPr>
        <w:t>E. 12.2</w:t>
      </w:r>
    </w:p>
    <w:p>
      <w:r>
        <w:t>Il n'est pas alloué de dépens (art 7 al. 1 FITAF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