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C-7315/2009 vom 9. Februar 2011</w:t>
      </w:r>
    </w:p>
    <w:p>
      <w:r>
        <w:t>Bundesverwaltungsgericht, 2011-02-09, DE</w:t>
      </w:r>
    </w:p>
    <w:p>
      <w:r>
        <w:rPr>
          <w:b/>
        </w:rPr>
        <w:t xml:space="preserve">Quelle: </w:t>
      </w:r>
      <w:r>
        <w:t>https://mcp.opencaselaw.ch/entscheid/bvger_C-7315_2009</w:t>
      </w:r>
    </w:p>
    <w:p>
      <w:r>
        <w:t>FR: TAF C-7315/2009 du 9 février 2011</w:t>
      </w:r>
    </w:p>
    <w:p>
      <w:r>
        <w:t>IT: TAF C-7315/2009 del 9 febbraio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Bundesge­richtsurteils 2A.451/2002 vom 28. März 2003, nicht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Bei der Überprüfung des deklarierten Zwecks und der Einschätzung der Gewähr für eine fristgerechte Wiederausreise kann im Falle eines Be­suchsaufenthalts entgegen der Auffassung der Beschwerdeführerin nicht einseitig nur auf die Verhältnisse am Zielort abgestellt werden. Es ver­steht sich von selbst, dass bei einer solchen Beurteilung die persönlichen Verhältnisse der einreisewilligen Person zentrale Bedeutung haben (zur rechtlichen Übereinstimmung zwischen den Normen des Schengen-Rechts und denjenigen der nationalen Gesetzgebung vgl. BVGE 2009/27 E. 5.2 und 5.3).</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unterliegt die Beschwerdeführerin der Vi­sumpflicht.</w:t>
      </w:r>
    </w:p>
    <w:p>
      <w:r>
        <w:rPr>
          <w:b/>
        </w:rPr>
        <w:t>E. 8.1</w:t>
      </w:r>
    </w:p>
    <w:p>
      <w:r>
        <w:t>Zur Prüfung des Kriteriums der gesicherten Wiederausreise muss ein zukünftiges Verhalten beurteilt werden. Dazu lassen sich in der Regel keine gesicherten Feststellungen, sondern lediglich Prognosen treffen. Dabei sind - wie bereits angetönt -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8.3.1</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(Quellen: Deutsches Auswärtiges Amt, http://www.auswaertiges-amt.de Länder, Reise und Sicherheit Sri Lanka Innenpolitik, Stand: April 2010, besucht am 24. Januar 2011; Rainer Mattern, Schweizeri­sche Flüchtlingshilfe, Sri Lanka: Aktuelle Situation, Update vom 1. Dezember 2010, S. 1).</w:t>
      </w:r>
    </w:p>
    <w:p>
      <w:r>
        <w:rPr>
          <w:b/>
        </w:rPr>
        <w:t>E. 8.3.2</w:t>
      </w:r>
    </w:p>
    <w:p>
      <w:r>
        <w:t>Die schwierige Lage des Landes spiegelt sich auch in den schweizeri­schen Asylstatistiken des BFM wider, in denen Personen aus Sri Lanka in den Jahren 2009 und 2010 mit 1'415 Gesuchen (+12,1% ge­genüber dem Vorjahr 2008) bzw. 939 (-33,6% gegenüber 2009) jeweils die drittgrösste Gruppe von Asylsuchenden stellten (vgl. kommentierte Asyl­statistiken des BFM 2009 und 2010, je S. 3 und 10; im Internet unter: &lt;http://www.bfm.admin.ch&gt; Themen &gt; Statistiken).</w:t>
      </w:r>
    </w:p>
    <w:p>
      <w:r>
        <w:rPr>
          <w:b/>
        </w:rPr>
        <w:t>E. 8.3.3</w:t>
      </w:r>
    </w:p>
    <w:p>
      <w:r>
        <w:t>Vor dem Hintergrund des erst vor eineinhalb Jahren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9.1</w:t>
      </w:r>
    </w:p>
    <w:p>
      <w:r>
        <w:t>Bei der Beschwerdeführerin handelt es sich um eine 51-jährige, verheirate Frau. Sie ist Mutter von fünf erwachsenen Kindern und wohnt zu­sammen mit ihrem Ehemann im Distrikt Jaffna (Division Thenmaradch­chi). Von ihren fünf Kindern halten sich nur noch ein Sohn und eine Toch­ter mit ihren Familien im Land auf. Der Sohn lebt offenbar mit seiner Familie in häuslicher Gemeinschaft mit den Eltern. Die drei älteren Kinder der Beschwerdeführerin leben in Europa (Grossbritannien bzw. Italien). Von den insgesamt sieben Geschwistern der Beschwerdeführerin leben offenbar nur noch vier in Sri Lanka. Zwei ihrer Brüder (darunter der Gastgeber) gelangten als Asylbewerber in die Schweiz und sind hier mittler­weile eingebürgert. Auch der Ehemann der Beschwerdeführerin soll sich gemäss ihrer eigenen Darstellung (Schrei­ben vom 21. Januar 2010 zuhanden des Beschwerdeverfahrens) während sieben Jahren in der Schweiz aufgehalten haben. Ein weiteres Geschwister der Beschwerdeführerin hält sich in Grossbritannien auf.</w:t>
      </w:r>
    </w:p>
    <w:p>
      <w:r>
        <w:rPr>
          <w:b/>
        </w:rPr>
        <w:t>E. 9.2</w:t>
      </w:r>
    </w:p>
    <w:p>
      <w:r>
        <w:t>Die aufgezeigten Verhältnisse lassen auf einen ausgeprägten, generationsübergreifenden Migrationshintergrund in der Familie schliessen. Weshalb gerade die Beschwerdeführerin (und ihr Ehemann) überhaupt keinen Anlass zur Auswanderung haben sollte, wo doch ein beachtlicher Teil ihrer Geschwister bzw. Verschwägerten und der eigenen Kinder einen solchen Schritt unternommen haben, ist weder mit ihrem Alter, noch mit einer in jüngster Zeit wesentlich veränderten Sicherheitslage oder dem Hinweis auf bestehendes Grundeigentum schlüssig zu begründen.</w:t>
      </w:r>
    </w:p>
    <w:p>
      <w:r>
        <w:rPr>
          <w:b/>
        </w:rPr>
        <w:t>E. 9.3</w:t>
      </w:r>
    </w:p>
    <w:p>
      <w:r>
        <w:t>Über die wirtschaftlichen Verhältnisse, in denen sich die Beschwerdeführerin befindet, lässt sich anhand der Akten kein schlüssiges Bild gewinnen. Zwar äusserte sie sich im Verlaufe des Verfahrens zu Grundeigentum, das sich in ihrem Besitz befinden soll. So liess sie in der Beschwerde geltend machen, sie und ihr Ehemann besässen ein eigenes Wohnhaus, eine kleinere Kokosnussplantage und Land, auf welchem Reis angebaut werde. Belegen liess sie diese Verhältnisse mit einer Be­stätigung lokaler Behörden vom 25. Juni 2009. Nachdem die Vorinstanz in ihrer Vernehmlassung vom 7. Januar 2010 explizit darauf hingewiesen hatte, dass nicht bekannt sei, in welchen wirtschaftlichen Verhältnissen die Beschwerdeführerin und ihre Familie lebten, wurden replikweise wei­tere Belege eingereicht. Den entsprechenden Unterlagen kann entnom­men werden, dass die Beschwerdeführerin alleine bzw. mit ih­rem Ehe­mann in den Jahren 1982, 1998 und 2004 Land für insgesamt 205'600 sri-lankische Rupien (umgerechnet rund CHF 1'770) gekauft hat, und dass sie im Jahre 1998 ein Grundstück im Wert von 125'000 sri-lanki­schen Rupien (umgerechnet rund CHF 1'076) als Geschenk von ihren El­tern erhalten hat. Für die gleichzeitig geltend gemachte Existenz eines 20-Zimmer-Hauses an ihrem Wohnort und eines weiteren Hauses mit 7 Zimmern in Colombo wurden allerdings keine Belege vorgelegt. Mit den eingereichten Belegen ist zwar erstellt, dass die Beschwerdeführerin Grundeigentum hat bzw. daran beteiligt ist. Klar scheint auch, dass es sich dabei grösstenteils um landwirtschaftlich nutzbares Land handelt (in der Replik ist die Rede von 20'000 m2 Reisland). Nach wie vor unklar ist aber, welche Erträge dieses Land abwirft und wie viele Personen davon leben. Bei dieser Aktenlage kann jedenfalls nicht als erstellt betrachtet werden, dass sich die Beschwerdeführerin in besonders vorteilhaften wirtschaftlichen Verhältnissen befindet.</w:t>
      </w:r>
    </w:p>
    <w:p>
      <w:r>
        <w:rPr>
          <w:b/>
        </w:rPr>
        <w:t>E. 9.4</w:t>
      </w:r>
    </w:p>
    <w:p>
      <w:r>
        <w:t>Die Beschwerdeführerin beantragt einen dreimonatigen Besuchsaufenthalt in der Schweiz, den sie bei einem ihrer Brüder und dessen Familie verbringen will. An dieser Dauer hält sie trotz des Umstandes fest, dass der ursprüngliche Anlass (Unterstützung der Schwägerin nach deren Niederkunft) inzwischen nicht mehr aktuell sein kann. Die beabsichtigte Dauer erscheint ohne speziellen Anlass oder weitere mit der Reise verbundene Absichten als sehr lange. Die Beschwerdeführerin macht auch nicht etwa geltend, sie wolle ihren zweiten Bruder in der Schweiz oder ihre eigenen in Grossbritannien und Italien lebenden Kinder besuchen oder hier empfangen.</w:t>
      </w:r>
    </w:p>
    <w:p>
      <w:r>
        <w:rPr>
          <w:b/>
        </w:rPr>
        <w:t>E. 10</w:t>
      </w:r>
    </w:p>
    <w:p>
      <w:r>
        <w:t>Vor dem aufgezeigten Hintergrund konnte die Vorinstanz davon ausge­hen, dass keine hinreichende Gewähr für eine fristgerechte und anstandslose Wiederausreise der Beschwerdeführerin nach einem Besuchsaufenthalt besteht.</w:t>
      </w:r>
    </w:p>
    <w:p>
      <w:r>
        <w:rPr>
          <w:b/>
        </w:rPr>
        <w:t>E. 11</w:t>
      </w:r>
    </w:p>
    <w:p>
      <w:r>
        <w:t>Gründe für die Ausstellung eines Visums mit räumlich beschränkter Gültigkeit (vgl. E. 6 vorstehend) wurden von der Beschwerdeführerin nicht geltend gemacht und sind auch sonst nicht ersichtlich.</w:t>
      </w:r>
    </w:p>
    <w:p>
      <w:r>
        <w:rPr>
          <w:b/>
        </w:rPr>
        <w:t>E. 12</w:t>
      </w:r>
    </w:p>
    <w:p>
      <w:r>
        <w:t>Bleibt festzuhalten, dass die von der Beschwerdeführerin gerügte Verlet­zung der einschlägigen internationalen rechtlichen Bestimmungen jegli­cher Grundlage entbehrt (vgl. vorne Ziff. 5.2.; zur Rechtslage im Zeitpunkt der Beschwerdeerhebung vgl. BVGE 2009/27 E. 5.2 und E. 5.3). Die ange­fochtene Verfügung ist im Lichte von Art. 49 VwVG nicht zu beanstan­den, weshalb die Beschwerde abzuweisen ist.</w:t>
      </w:r>
    </w:p>
    <w:p>
      <w:r>
        <w:rPr>
          <w:b/>
        </w:rPr>
        <w:t>E. 13</w:t>
      </w:r>
    </w:p>
    <w:p>
      <w:r>
        <w:t>Mit Abweisung der Beschwerde wird die Beschwerdeführerin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