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C-730/2008 vom 28. August 2009</w:t>
      </w:r>
    </w:p>
    <w:p>
      <w:r>
        <w:t>Bundesverwaltungsgericht, 2009-08-28, FR</w:t>
      </w:r>
    </w:p>
    <w:p>
      <w:r>
        <w:rPr>
          <w:b/>
        </w:rPr>
        <w:t xml:space="preserve">Quelle: </w:t>
      </w:r>
      <w:r>
        <w:t>https://mcp.opencaselaw.ch/entscheid/bvger_C-730_2008</w:t>
      </w:r>
    </w:p>
    <w:p>
      <w:r>
        <w:t>FR: TAF C-730/2008 du 28 août 2009</w:t>
      </w:r>
    </w:p>
    <w:p>
      <w:r>
        <w:t>IT: TAF C-730/2008 del 28 agosto 2009</w:t>
      </w:r>
    </w:p>
    <w:p>
      <w:pPr>
        <w:pStyle w:val="Heading2"/>
      </w:pPr>
      <w:r>
        <w:t>Regeste</w:t>
      </w:r>
    </w:p>
    <w:p>
      <w:r>
        <w:t>Assurance-invalidité (AI)</w:t>
      </w:r>
    </w:p>
    <w:p>
      <w:pPr>
        <w:pStyle w:val="Heading2"/>
      </w:pPr>
      <w:r>
        <w:t>Erwägungen</w:t>
      </w:r>
    </w:p>
    <w:p>
      <w:r>
        <w:rPr>
          <w:b/>
        </w:rPr>
        <w:t>E. 1</w:t>
      </w:r>
    </w:p>
    <w:p>
      <w:r>
        <w:t>Conduite du ménage</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 2.</w:t>
      </w:r>
    </w:p>
    <w:p>
      <w:r>
        <w:rPr>
          <w:b/>
        </w:rPr>
        <w:t>E. 2</w:t>
      </w:r>
    </w:p>
    <w:p>
      <w:r>
        <w:t>/ 5</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 3. 3.1 L'examen du droit à des prestations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5ème révision de la LAI entrées en vigueur le 1er janvier 2008 ne sont donc pas applicables et les dispositions citées ci-après sont celles en vigueur jusqu'au 31 décembre 2007. 3.2 La recourante a présenté sa demande de rente le 16 juillet 2004. En dérogation à l'art. 24 LPGA, l'art. 48 al. 2 LAI prévoit que si l'assuré présente sa demande de rente plus de douze mois après la naissance du droit, les prestations ne sont allouées que pour les douze mois précédant le dépôt de la demande. En l'espèce, le Tribunal peut ainsi se limiter à examiner si la recourante avait droit à une rente le 16 juillet 2003 ou si le droit à une rente était né entre cette date et le 20 décembre 2007, date de la décision attaquée marquant la limite dans le temps du pouvoir d'examen de l'autorité de recours (ATF 129 V 1 consid. 2.1 et ATF 121 V 362 consid. 1b). 4. Selon les normes applicables, tout requérant, pour avoir droit à une rente de l'assurance-invalidité suisse, doit remplir cumulativement les conditions suivantes: être invalide au sens de la LPGA et de la LAI (art. 8 LPGA, 4, 28, 29 al. 1 LAI); compter une année entière au moins de cotisations (art. 36 al. 1 LAI). La recourante a versé des cotisations à l'AVS/AI pendant plus d'une année au total et remplit donc la condition de la durée minimale de cotisations. Il reste à examiner si elle est invalide. 5.</w:t>
      </w:r>
    </w:p>
    <w:p>
      <w:r>
        <w:rPr>
          <w:b/>
        </w:rPr>
        <w:t>E. 5</w:t>
      </w:r>
    </w:p>
    <w:p>
      <w:r>
        <w:t>0% 0% 2 Alimentation</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L'assuré a droit à un quart de rente s'il est invalide à 40% au moins, à une demi-rente s'il est invalide à 50%, à trois-quarts de rente s'il est invalide à 60% et à une rente entière s'il est invalide à 70% au moins (art. 28 al. 1 LAI). Antérieurement au 1er janvier 2004, l'assuré avait droit à un quart de rente dès une invalidité de 40%, à une demi-rente dès une invalidité de 50% et à une rente entière dès une invalidité de 66.66%. Suite à l'entrée en vigueur le 1er juin 2002 de l'accord bilatéral entre la Suisse et la Communauté européenne, la restriction prévue à l'art. 28 al. 1ter LAI - selon laquelle les rentes correspondant à un taux d'invalidité inférieur à 50% ne sont versées qu'aux assurés qui ont leur domicile et leur résidence habituelle en Suisse (art. 13 LPGA) - n'est pas applicable lorsque l'assuré est un ressortissant suisse ou un ressortissant de l'UE et y réside.</w:t>
      </w:r>
    </w:p>
    <w:p>
      <w:r>
        <w:rPr>
          <w:b/>
        </w:rPr>
        <w:t>E. 5.3</w:t>
      </w:r>
    </w:p>
    <w:p>
      <w:r>
        <w:t>Le taux d'invalidité d'une personne exerçant une activité lucrative est fixé d'après la comparaison des revenus prévue par l'art. 16 LPGA, c'est-à-dire essentiellement selon des considérations économiques (art. 28 al. 2 LAI). Ainsi le revenu que l'assuré aurait pu obtenir s'il n'était pas invalide est comparé avec celui qu'il pourrait obtenir en exerçant l'activité qui peut raisonnablement être exigée de lui après les traitements et les mesures de réadaptation, sur un marché du travail équilibré (méthode générale). L'invalidité des assurés âgés de 20 ans ou plus qui n'exerçaient pas d'activité lucrative avant d'être atteints dans leur santé physique, mentale ou psychique et dont on ne saurait exiger qu'ils exercent une telle activité est déterminée selon l'art. 8 al. 3 LPGA qui dispose que ces personnes sont réputées invalides si l'atteinte les empêche d'accomplir leurs travaux habituels (art. 28 al. 2bis LAI et 27 du règlement du 17 janvier 1961 sur l'assurance-invalidité [RAI, RS 831.201]) telles les tâches domestiques (méthode spécifique). Si l'assuré exercait une activité à temps partiel il convient de pondérer les deux méthodes (méthode mixte) en fonction du temps alors attribué à l'activité lucrative et aux activité domestiques (art. 28 al. 2ter LAI et 27bis RAI). L'invalidité de l'assuré est évaluée selon l'une ou l'autre de ces trois méthodes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ménage, cela à la lumière de sa situation familiale, sociale, et professionnelle. Il est tenu compte, pour le cas où l'assuré serait demeuré valide, d'éléments tels que la situation financière du ménage, l'éducation des enfants, l'âge de l'assuré, ses qualifications professionnelles, sa formation ainsi que ses affinités et talents personnels (ATF 117 V 195 consid. 3b; arrêt du Tribunal fédéral I 276/05 du 24 avril 2006 consid. 2.3). En l'espèce, l'assurée, de retour au Portugal en 2003, n'a pas repris d'activité lucrative et n'a pas fait valoir expressément, preuve à l'appui, avoir cherché à en exercer une. Son invalidité devrait dès lors être en principe évaluée dans le cadre de l'accomplissement des tâches domestiques, soit en application de la méthode spécifique. Toutefois, il appert du dossier que l'intéressée, veuve, ne peut se permettre financièrement de vivre sans revenu. On ne peut donc pas exclure a priori, vu son âge, sa situation et son expérience professionnelle antérieure, qu'elle aurait exercé et exercerait une activité profession-nelle si son état de santé devait le lui permettre. C'est dès lors à tort que l'OAIE a retenu pour l'évaluation de son invalidité la méthode spécifique au lieu de la méthode générale. Une instruction complé-mentaire sur la question de savoir si l'assurée aurait repris une activité lucrative malgré l'atteinte à la santé apparaît indispensable, cette question ne pouvant pas être jugée sur la base du dossier à disposition du Tribunal de céans.</w:t>
      </w:r>
    </w:p>
    <w:p>
      <w:r>
        <w:rPr>
          <w:b/>
        </w:rPr>
        <w:t>E. 5.4</w:t>
      </w:r>
    </w:p>
    <w:p>
      <w:r>
        <w:t>Conformément à l'art. 29 al. 1 LAI, le droit à une rente prend naissance au plus tôt à la date dès laquelle l'assuré présente une incapacité de gain durable de 40% au moins (lettre a), ou l'assuré a présenté, en moyenne, une incapacité de travail de 40% au moins pendant une année sans interruption notable (lettre b). D'après la jurisprudence constante du Tribunal fédéral, la lettre a s'applique si l'état de santé de l'assuré est stabilisé et a acquis un caractère essentiellement irréversible affectant la capacité de gain dans une mesure suffisamment grave pour justifier l'octroi d'une rente (art. 29 RAI), la lettre b si l'état de santé est labile, c'est-à-dire susceptible d'une amélioration ou d'une aggravation (ATF 111 V 21 consid. 2). Une atteinte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arrêt du Tribunal fédéral I 342/05 du 27 juillet 2005).</w:t>
      </w:r>
    </w:p>
    <w:p>
      <w:r>
        <w:rPr>
          <w:b/>
        </w:rPr>
        <w:t>E. 5.5</w:t>
      </w:r>
    </w:p>
    <w:p>
      <w:r>
        <w:t>Par incapacité de travail on entend toute perte, totale ou partielle, résultant d'une atteinte à la santé physique, mentale ou psychique, de l'aptitude de l'assuré à accomplir dans sa profession ou son domaine d'activité (in casu les tâches domestiques) le travail qui peut raisonnablement être exigé de lui. 6. 6.1 La notion d'invalidité, dont il est question à l'art. 8 LPGA et à l'art. 4 LAI est de nature économique/juridique, établissant une incapacité de gain permanente ou probablement de longue durée, et non médicale (ATF 127 V 294 consid. 4b)bb, ATF 116 V 246 consid. 1b; Schweizerische Versicherungsrecht Rechtsprechung [SVR] 2009 IV n° 8 p. 16).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S'agissant des personnes travaillant dans le ménage, l'invalidité est fonction de leur incapacité à accomplir leurs tâches ménagères et implicitement de leur dépendance du travail de tiers. 6.2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125 V 256 consid. 4, 115 V 133 consid. 2 et ATF 114 V 310 consid. 3c; arrêt du Tribunal fédéral I 599/04 du 28 juillet 2005 consid. 1.2). 7. 7.1 En l'espèce l'intéressée présente principalement depuis 2004 un syndrome de Sjögren primaire et des polyarthralgies affectant le rachis, les genoux et les articulations des poignets et des pieds. 7.2 A défaut d'un état de santé stabilisé, la lettre a de l'art. 29 al. 1 LAI est inapplicable; seule peut entrer en considération la lettre b de cette disposition légale prévoyant une période d'attente d'une année à partir du début de l'incapacité de travail relevante pour la détermination du début du droit à la rente. 8. 8.1 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consid. 4a). 8.2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 Zurich 2009, art. 42 n° 19 p. 536 et les références; ATF 130 II 425 consid. 2.1 et les références; arrêt 9C_859/2007 du Tribunal fédéral du 16 décembre 2008 consid. 5). Une telle manière de procéder ne viole pas le droit d'être entendu selon l'art. 29 al. 2 Cst. (Sozialversicherungsrecht Rechtsprechung [SVR] 2001 IV n° 10 p. 28). 8.3 Le tribunal établit avec la collaboration des parties les faits déterminants pour la solution du litige; il administre les preuves nécessaires et les apprécie librement. 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les références citées). 9. 9.1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9.2 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w:t>
      </w:r>
    </w:p>
    <w:p>
      <w:r>
        <w:rPr>
          <w:b/>
        </w:rPr>
        <w:t>E. 10</w:t>
      </w:r>
    </w:p>
    <w:p>
      <w:r>
        <w:t>En l'espèce, l'intéressée a présenté les signes d'un syndrome de Sjögren en 2000. Bien que nécessitant un traitement symptomatique constant par un apport de salive et liquide lacrimal artificiels, il appert du rapport médical du Dr F._______ et du questionnaire à l'employeur de l'intéressée du temps de son activité lucrative en Suisse que l'assurée a eu une pleine capacité de travail jusqu'à fin 2003. A la fin de cette année, il ressort des affirmations de l'intéressée que celle-ci a eu quelques problèmes tant de santé que psychologiques qui l'ont affectée et qui ont motivé son retour au pays dans son cadre familial, puis qui se sont aggravés au cours de l'année 2004. Ces affirmations concordent avec les constatations cliniques des médecins portugais qui ont traité l'assurée depuis les premiers rapports d'examens de laboratoire datés du 6 avril 2004 et une prise en charge rhumatologique depuis novembre 2004. Ces éléments de faits ne permettent cependant pas d'inférer quelque status invalidant en 2004 dont pourrait se prévaloir l'intéressée pour fonder sa demande de prestations de l'assurance-invalidité. Pour l'année 2005, comme l'a relevé la Dresse E._______, on peut retenir comme date de troubles d'une certaine importance le début de la prise en charge de l'intéressée le 23 mai 2005 par le Dr C._______. En 2006, l'état de santé de l'assurée s'est encore objectivement dégradé. Un rapport radiologique du 16 janvier 2006 fait état de spondylite C4-C6 associée à une discarthrose C4-C5 et C5-C6 avec un phénomène d'uncarthrose en C5-C6 à gauche, une spondylite D8-D9 associée à une discarthrose de D5 à D9 accentuée par une physiologie dorsale, de l'arthrose interapophysaire en L5-S1 accentuée par une lordose physiologique lombaire. Un rapport E 213 du 6 mars 2006 relève des douleurs à la colonne, une marche avec difficulté à droite, l'impossibilité d'exercer quelque activité lucrative que ce soit. Un nouveau rapport E 213 du 12 mars 2007 confirme le précédent relevant de plus un état anxieux et un syndrome dépressif. La documentation médicale subséquente a confirmé les diagnostics précités faisant état également d'une aggravation des atteintes à la santé. Dans son rapport du 4 juillet 2007, la Dresse E._______, dans l'optique d'une évaluation de l'invalidité selon la méthode spécifique, a retenu une incapacité dans les tâches domestiques de 37%. A ce titre elle a notamment retenu une incapacité de 50% dans l'entretien du logement et une invalidité de 40% dans la lessive et l'entretien des vêtements. Or, ces deux activités étaient principalement celles de l'intéressée dans son activité professionnelle de dame d'étage dans l'hôtellerie. Sur la base de cette constatation, si l'invalidité de l'assurée devait être évaluée selon la méthode générale, il y aurait lieu de lui reconnaître au moins une incapacité de travail de 40%. La question de savoir quelle est la méthode applicable doit néanmoins faire l'objet d'une instruction complémentaire (voir ci-dessus consid. 5.3). Pour le Tribunal de céans, déjà pour cette raison, il n'est donc pas possible de déterminer la capacité de travail résiduelle de l'intéressée. En outre, au vu des rapports E 213 qui concluent à une incapacité totale, il y a une telle divergence entre les différents rapports médicaux qu'il n'est pas possible de confirmer si l'intéressée pourrait réellement reprendre à 40/50% son travail dans l'hôtellerie. Par conséquent, il y a lieu d'annuler la décision entreprise et de renvoyer le dossier à l'administration en application de l'art. 61 PA pour complément d'instruction afin de déterminer la méthode d'évaluation applicable et, après avoir versé aux actes une nouvelle expertise médicale, déterminer le taux d'invalidité de l'intéressée. Au besoin un examen pluridisciplinaire sera ordonné en Suisse.</w:t>
      </w:r>
    </w:p>
    <w:p>
      <w:r>
        <w:rPr>
          <w:b/>
        </w:rPr>
        <w:t>E. 11.1</w:t>
      </w:r>
    </w:p>
    <w:p>
      <w:r>
        <w:t>Selon la jurisprudence, la partie qui a formé recours est réputée avoir obtenu gain de cause lorsque la cause est renvoyée à l'administration pour instruction complémentaire et nouvelle décision (ATF 132 V 215 consid. 6.2). Aucun frais de procédure n'est toutefois mis à la charge des autorités inférieures, ni des autorités fédérales recourantes et déboutées (art. 63 al. 2 i. i. PA, applicable par renvoi de l'art. 37 LTAF). Il n'est donc pas perçu de frais de procédure et l'avance de frais perçue de la recourante lui est restituée.</w:t>
      </w:r>
    </w:p>
    <w:p>
      <w:r>
        <w:rPr>
          <w:b/>
        </w:rPr>
        <w:t>E. 11.2</w:t>
      </w:r>
    </w:p>
    <w:p>
      <w:r>
        <w:t>Les art. 64 PA et 7 du règlement du 21 février 2008 concernant les frais, dépens et indemnités fixés par le Tribunal administratif fédéral (FITAF; RS 173.320.2) - applicable en l'espèce en vertu de l'art. 53 al. 2 i. f. LTAF -, permettent au Tribunal d'allouer à la partie ayant obtenu gain de cause une indemnité pour les frais indispensables et relativement élevés qui lui ont été occasionnés. En l'espèce, l'intéressée n'ayant pas recouru aux services d'un mandataire, il ne lui 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