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C-7309/2008 vom 1. September 2011</w:t>
      </w:r>
    </w:p>
    <w:p>
      <w:r>
        <w:t>Bundesverwaltungsgericht, 2011-09-01, FR</w:t>
      </w:r>
    </w:p>
    <w:p>
      <w:r>
        <w:rPr>
          <w:b/>
        </w:rPr>
        <w:t xml:space="preserve">Quelle: </w:t>
      </w:r>
      <w:r>
        <w:t>https://mcp.opencaselaw.ch/entscheid/bvger_C-7309_2008</w:t>
      </w:r>
    </w:p>
    <w:p>
      <w:r>
        <w:t>FR: TAF C-7309/2008 du 1 septembre 2011</w:t>
      </w:r>
    </w:p>
    <w:p>
      <w:r>
        <w:t>IT: TAF C-7309/2008 del 1 settembre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dans l'affaire d'espèce. En revanche, conformément à l'art. 126 al. 2 LEtr, la procédure est régie par le nouveau droit.</w:t>
      </w:r>
    </w:p>
    <w:p>
      <w:r>
        <w:rPr>
          <w:b/>
        </w:rPr>
        <w:t>E. 1.3</w:t>
      </w:r>
    </w:p>
    <w:p>
      <w:r>
        <w:t>X._______ a qualité pour recourir (cf. art. 48 al. 1 PA). Présenté dans la forme et dans les délais prescrits par la loi, le recours est recevable (cf. art. 50 et art. 52 PA).</w:t>
      </w:r>
    </w:p>
    <w:p>
      <w:r>
        <w:rPr>
          <w:b/>
        </w:rPr>
        <w:t>E. 1.4</w:t>
      </w:r>
    </w:p>
    <w:p>
      <w:r>
        <w:t>Dans la mesure où l'intéressé invoque l'absence d'une mesure d'éloignement au sens de l'art. 10 LSEE (cf. mémoire de recours, p. 9), le Tribunal souligne que l'objet de la présente procédure est circonscrit par le dispositif de la décision querellée à la seule question de l'interdiction d'entrée en Suisse, une mesure (administrative) de contrôle visant à empêcher l'étranger concerné de revenir sur le territoire helvétique à l'insu des autorités suisses, et que seule peut être examinée, dans le cadre de la présente procédure, la question de l'interdiction d'entrée en Suisse prononcée à l'endroit du prénommé. Toute autre question portant sur le séjour en Suisse de l'intéressé ou sur son renvoi de ce pays sortent du cadre de l'objet de la présente procédure.</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ci-dessus.</w:t>
      </w:r>
    </w:p>
    <w:p>
      <w:r>
        <w:rPr>
          <w:b/>
        </w:rPr>
        <w:t>E. 3</w:t>
      </w:r>
    </w:p>
    <w:p>
      <w:r>
        <w:t>Dans la mesure où le recourant invoque un vice de procédure, reprochant en particulier à l'autorité inférieure de n'avoir pas respecté son droit d'être entendu avant de prononcer la décision querellée, il convient d'examiner en priorité ce grief.</w:t>
      </w:r>
    </w:p>
    <w:p>
      <w:r>
        <w:rPr>
          <w:b/>
        </w:rPr>
        <w:t>E. 3.1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137 IV 33 consid. 9.2 et la jurisprudence citée ; ATAF 2009/54 consid. 2.2 p. 778s., et les références citées).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ATAF 2009/53 consid. 7.3 p. 773; ATF 135 I 279 consid. 2.6.1, 133 I 201 consid. 2.2, ATF 130 II 530 consid. 7.3, et jurisprudence citée).</w:t>
      </w:r>
    </w:p>
    <w:p>
      <w:r>
        <w:rPr>
          <w:b/>
        </w:rPr>
        <w:t>E. 3.2</w:t>
      </w:r>
    </w:p>
    <w:p>
      <w:r>
        <w:t>En l'espèce, l'intéressé n'a certes pas eu l'occasion de se déterminer sur les arguments retenus par l'autorité inférieure à l'appui de la décision querellée avant son prononcé. Il convient toutefois de relever que ce dernier s'était de lui-même mis dans l'impossibilité d'être entendu par les autorités compétentes, dans la mesure où il s'était soustrait à l'exécution de sa condamnation en s'enfuyant au Portugal. Dans ces circonstances, le recourant ne saurait faire grief à l'ODM de ne pas l'avoir entendu avant le prononcé querellé (cf. en ce sens l'art. 30 al. 2 let. e PA). En tout état de cause, à supposer même qu'un tel grief ne puisse d'emblée être écarté, il faudrait considérer que ce vice a été réparé. En effet, l'intéressé a pu s'expliquer librement dans le cadre de la présente procédure de recours introduite devant le Tribunal (qui dispose d'une pleine cognition, cf. consid. 2 supra), tant dans son recours que dans sa réplique. Aussi, vu ce qui précède, le grief tiré de la violation du droit d'être entendu ne peut être retenu.</w:t>
      </w:r>
    </w:p>
    <w:p>
      <w:r>
        <w:rPr>
          <w:b/>
        </w:rPr>
        <w:t>E. 4</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la jurisprudence citée, en particulier l'ATF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l'arrêt du TAF C-1444/2009 du 25 février 2010 consid. 5.2, ainsi que la jurisprudence mentionnée).</w:t>
      </w:r>
    </w:p>
    <w:p>
      <w:r>
        <w:rPr>
          <w:b/>
        </w:rPr>
        <w:t>E. 5.1</w:t>
      </w:r>
    </w:p>
    <w:p>
      <w:r>
        <w:t>En l'occurrence, l'interdiction d'entrée en Suisse prise le 21 avril 2005 par l'ODM à l'endroit de X._______ est motivée par le fait que ce dernier doit être considéré comme un étranger indésirable en raison de son comportement et pour des motifs d'ordre et de sécurité publics. Ainsi que cela résulte des précisions contenues dans sa motivation, cette mesure d'éloignement est à mettre en relation avec la condamnation pénale dont le recourant a fait l'objet, le 18 octobre 2004, de la part du Tribunal du IIe arrondissement pour le district de Sion, qui a condamné l'intéressé pour lésions corporelles simples, lésions corporelles simples avec un objet dangereux, agression, appropriation illégitime, complicité de vol, vol en bande et par métier, dommages à la propriété, recel, injure, menaces, délit manqué de menaces, violation de domicile, violence ou menace contre les fonctionnaires, vol d'usage, délit manqué de vol d'usage, violation de la LStup à la peine de vingt-quatre mois de réclusion. Il est encore à noter que le tribunal précité a prononcé une peine d'ensemble par rapport à celles prononcées les 8 septembre 2000, 6 mai 2002 et 27 juin 2003 (cf. consid. A.b) sous déduction de la détention préventive subie par le prénommé. Ledit tribunal a encore révoqué les sursis accordés les 8 septembre 2000, 6 mai 2002 et 27 juin 2008 et a assorti la peine d'une expulsion du territoire suisse pour une durée de sept ans. Eu égard à la gravité des faits pour lesquels il a été condamné, le recourant répond manifestement à la qualification d'étranger indésirable telle que définie à l'art. 13 al. 1 phr. 1 LSEE et par la jurisprudence y relative (cf. consid. 4 ci-dessus), de sorte qu'il réalise les conditions d'application de cette disposition.</w:t>
      </w:r>
    </w:p>
    <w:p>
      <w:r>
        <w:rPr>
          <w:b/>
        </w:rPr>
        <w:t>E. 5.2</w:t>
      </w:r>
    </w:p>
    <w:p>
      <w:r>
        <w:t>Certes, dans ses observations du 31 mars 2009, l'intéressé a fait valoir qu'il avait été mis au bénéfice du régime de semi-liberté et qu'il allait déposer une requête de libération conditionnelle, qui a été accordée par décision du 25 juin 2009 de l'Office du juge de l'application des peines et mesures du Valais romand. Toutefois, cette décision a été prise par l'autorité pénale dans un contexte bien précis, à savoir l'examen de la question de la libération conditionnelle, et ne préjuge pas de l'appréciation de l'autorité compétente en matière de droit des étrangers sur l'ensemble du dossier, l'appréciation de l'autorité de police des étrangers pouvant avoir, pour le recourant, des conséquences plus rigoureuses que celle à laquelle a procédé l'autorité pénale.</w:t>
      </w:r>
    </w:p>
    <w:p>
      <w:r>
        <w:rPr>
          <w:b/>
        </w:rPr>
        <w:t>E. 5.3</w:t>
      </w:r>
    </w:p>
    <w:p>
      <w:r>
        <w:t>Il est à relever aussi que, contrairement à ce qu'affirme le recourant (cf. mémoire de recours, p. 9), l'ODM n'a pas fondé la décision d'interdiction d'entrée en Suisse "uniquement sur l'application de l'expulsion pénale prononcée en 2004", mais bien sur le comportement délictueux de l'intéressé, qui correspond au critère fixé par l'art. 13 al. 1 phr. 1 LSEE compte tenu de la condamnation pénale du 18 octobre 2004 (cf. consid. 5.1 supra). Dès lors, il importe peu que la mesure d'expulsion judiciaire (peine accessoire prononcée par le juge pénal en application de l'art. 55 CP) ait été abrogée par l'entrée en vigueur le 1er janvier 2007 de la révision du 13 décembre 2002 (RO 2006 3459; FF 1999 1787) de la partie générale du Code pénal suisse du 21 décembre 1937 (CP, RS 311.0), dans la mesure où la décision querellée est fondée sur l'art. 13 al. 1 LSEE.</w:t>
      </w:r>
    </w:p>
    <w:p>
      <w:r>
        <w:rPr>
          <w:b/>
        </w:rPr>
        <w:t>E. 5.4</w:t>
      </w:r>
    </w:p>
    <w:p>
      <w:r>
        <w:t>Il s'ensuit, au regard du droit interne, qu'au vu de la nature et de la gravité des infractions pour lesquelles le recourant a été sanctionné (cf. consid. A.b), ce dernier répond à la qualification d'étranger indésirable telle que définie à l'art. 13 al. 1 phr. 1 LSEE et par la jurisprudence y relative, de sorte qu'il réalise les conditions d'application de cette disposition (cf. consid. 4 supra). 6.1. Dans la mesure où X._______ a la nationalité portugaise et, partant, est citoyen de l'un des Etats membres de la Communauté européenne (CE), il importe de surcroît de vérifier que la mesure d'éloignement prononcée à son endroit le 21 avril 2005 est conforme à l'annexe de l'Accord du 21 juin 1999 entre la Confédération suisse d'une part, et la Communauté européenne et ses Etats membres, d'autre part, sur la libre circulation des personnes (ci après: ALCP, RS 0.142.112.681). En vertu de l'art. 1 let. a LSEE, cette dernière loi et, donc, l'art. 13 al. 1 LSEE sur lequel repose la décision querellée, ne sont en effet applicables aux ressortissants des Etats membres de la CE que si l'ALCP n'en dispose pas autrement.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 et jurisprudence citée]). 6.2.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et jurisprudence citée; voir également l'arrêt du Tribunal fédéral 2C_625/2007 du 2 avril 2008, consid. 7.2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précité, consid. 3.3, 130 II 176 consid. 3.4.2, 130 II 493 consid. 3.3). 6.3. Dans le cas d'espèce, il s'avère que le recourant, ainsi que cela a été exposé plus haut (cf. consid. 5.1), a été condamné le 18 octobre 2004 pour une série d'infractions pénales à une peine de vingt-quatre mois de réclusion. Dans ce contexte, il est important de souligner que le Tribunal du IIe arrondissement pour le district de Sion a porté l'appréciation suivante dans son jugement (cf. p. 75 et 76) : "Les infractions reprochées aux accusés sont graves, nombreuses et de plusieurs natures. Plusieurs d'entre eux ont agi en bande, la plupart en faisant preuve d'une violence purement gratuite, les intéressés étant eux-mêmes dans l'incapacité de fournir ne serait-ce que le début d'un mobile concret. Leur comportement se rapproche de celui de délinquants d'habitude. L'appât du gain, l'attrait d'une vie oisive et facile et le besoin de domination ont sans doute été les principaux moteurs qui les ont poussés à commettre ces infractions. Ces éléments leur sont particulièrement défavorables. Ils dénotent un mépris certain des valeurs sociales et humaines fondamentales de notre société. Les lésions causées n'ont jamais été bénignes et ils ne doivent le plus souvent qu'à la chance le fait de ne pas en avoir causé de plus graves ou des dégâts beaucoup plus conséquents. Le nombre et la gravité des infractions ne permettent pas, comme ils le souhaiteraient, de les mettre sur le compte de leur jeune âge. En effet, la détermination avec laquelle ils ont agi, à de nombreuses reprises, témoigne d'une volonté criminelle marquée, à chaque fois confirmée, malgré, pour plusieurs d'entre eux, de brefs interludes devant les autorités d'instruction pénales. Les actes pour lesquels ils sont aujourd'hui condamnés sont donc très loin des "petites bêtises de jeunesse" évoquées lors des débats de ce jour... Des cinq co-accusés, Conceiçao est celui qui a commis le plus grand nombre d'infractions et les plus graves. Ses antécédents sont mauvais. Ses fautes ne peuvent qu'être qualifiées de graves. La détermination, la violence gratuite dont il a, à plusieurs reprises, fait preuve, le mépris d'autrui et de l'autorité (il n'hésite pas à s'en prendre à des agents en service), la fréquence et la gravité des infractions témoignent d'une volonté criminelle marquée. Elle l'est d'autant plus que la plupart de ces infractions ont été commises pendant et après des procédures pénales entreprises à son encontre, ce qui exclut de mettre sur le seul compte de la jeunesse. Le Tribunal des mineurs avait dû reste déjà relevé, dans son jugement du 8 septembre 200[sic], que la situation personnelle de l'intéressé ne nécessitait aucune mesure éducative ou traitement spécial. Conceiçao ne bénéficie d'aucune circonstance atténuante. Sa peine doit par contre être aggravée en raison du concours d'infractions, soit de leur diversité et de leur fréquence, compte tenu cependant du fait que la notion de métier implique déjà la pluralité d'infractions de même nature...". A ce stade, il y a donc lieu de retenir que le recourant a commis des infractions qui doivent être qualifiées objectivement de graves et dont on ne saurait contester qu'elles affectent un intérêt fondamental de la société au sens de la jurisprudence de la CJCE. 6.4. Il reste cependant encore à examiner si le comportement du recourant est de nature à laisser apparaître l'existence d'une menace actuelle pour l'ordre public (cf. consid. 6.2 ci-dessus), au vu des divers arguments développés durant la procédure de recours. A cet égard, l'intéressé a fait valoir que depuis le jugement du 18 octobre 2004, il a "fait face à ses responsabilités, a accepté de payer le prix de ses erreurs et s'est présenté spontanément au pénitencier pour effectuer sa peine en date du 10 avril 2008" (cf. recours, p. 4); de même, il a fait valoir "une modification substantielle et essentielle du comportement" (cf. ibid., p 11) en ce sens qu'il avait pris conscience de sa culpabilité, qu'il avait commencé à rembourser les parties civiles, qu'il avait entamé une formation d'ébéniste tout en s'assurant d'un contrat de travail dès l'obtention du régime de semi-liberté. L'extrait de casier judiciaire requis par le Tribunal de céans auprès des autorités compétentes portugaises s'est révélé vierge. Force est de constater toutefois que les arguments mis en avant par le recourant ne permettent pas de conclure que le risque de récidive peut être définitivement exclu. Le cumul d'actes délictueux (plus de 30 chefs d'accusation parmi lesquels figurent de manière non exhaustive les lésions corporelles simples, les lésions corporelles simples avec un objet dangereux, l'agression, les menaces, la violence ou menace contre les fonctionnaires - cf. pages 16 à 28 du jugement du 18 octobre 2004 précité) commis sur une période de plus de 4 ans témoigne de l'incapacité chronique de l'intéressé à s'adapter à l'ordre établi et conduit le Tribunal à considérer que l'intéressé éprouve de réelles difficultés à respecter l'ordre public. Il est aussi à relever que l'intéressé, après l'entrée en force du jugement du 18 octobre 2004, a quitté la Suisse (selon les déclarations faites par sa mère) au mois de décembre 2004, sans exécuter sa peine, pour se rendre dans son pays d'origine où il est resté jusqu'au mois de mars 2008 (cf. procès-verbal d'audition du 11 avril 2008). Même si le recourant a prétendu être revenu en Suisse afin de se présenter spontanément au pénitencier pour effectuer sa peine, cet allégué est manifestement contredit par les circonstances de son arrestation sur la voie publique le 11 avril 2008 et par ses déclarations faites le même jour au poste de police (cf. consid. C). Une telle attitude démontre également le manque de responsabilité du recourant face à ses actes. Au vu de l'ensemble de ces circonstances, le Tribunal estime, même si l'intéressé a pu bénéficier - sur le plan pénal - d'une libération conditionnelle au mois de juillet 2009 en raison du fait qu'il n'était "pas possible de poser un pronostic défavorable sur le comportement futur du détenu" (cf. décision du 25 juin 2009 de l'Office du juge de l'application des peines et mesures du Valais romand, p. 6), que son éloignement de Suisse s'impose pendant quelque temps encore en vue de la prévention de nouvelles infractions. L'existence d'un risque de récidive peut d'autant moins être sous-estimé dans le cas particulier que l'intéressé, qui n'a pas achevé de formation professionnelle, n'a pas été capable lors de son dernier séjour au Portugal de plus de trois ans et malgré la présence d'une compagne et d'un enfant commun, de "refaire" sa vie (cf. procès-verbal du 11 avril 2008) et d'aménager un cadre de vie régulier lui permettant de subvenir à ses besoins. A ce propos, il est à noter que durant ce séjour au Portugal, il a dû recourir à l'aide pécuniaire de sa mère, malgré un emploi sur place et l'absence de frais d'hébergement puisqu'il vivait dans la maison de ses parents. Ainsi, au vu non seulement du nombre important d'infractions commises par le recourant et de la longue période durant laquelle il a perpétré celles-ci, mais également du fait que l'intéressé n'a pas démontré avoir acquis un cadre de vie stable lui permettant d'être entièrement autonome et de s'affranchir définitivement du milieu de la délinquance, il n'est pas possible en l'état de poser un pronostic favorable quant au comportement futur de ce dernier. Au vu des éléments exposés ci-avant, c'est donc à juste titre que l'autorité inférieure a retenu dans son préavis que le parcours personnel X._______ ne permettait pas en l'état de conclure à un pronostic favorable quant à son comportement futur, de sorte qu'il constituait toujours une menace actuelle pour l'ordre et la sécurité publics justifiant son éloignement de Suisse. Au demeurant, il est à constater que le recourant, depuis l'exécution de sa peine, a fait à nouveau l'objet d'une condamnation pénale (pour un fait qui n'est certes pas d'une gravité extrême en soi), ce qui conforte le Tribunal dans son appréciation quant au risque de récidive. Compte tenu de la pratique en la matière et de l'ensemble des circonstances du cas, le Tribunal estime, au vu des principes de la réglementation communautaire et de la jurisprudence de la CJCE concernant la gravité, la réalité et l'actualité de la menace que X._______ représente pour l'ordre et la sécurité publics, que la décision querellée satisfait aux conditions habilitant l'autorité à déroger au principe de libre circulation des personnes consacré par l'ALCP.</w:t>
      </w:r>
    </w:p>
    <w:p>
      <w:r>
        <w:rPr>
          <w:b/>
        </w:rPr>
        <w:t>E. 7</w:t>
      </w:r>
    </w:p>
    <w:p>
      <w:r>
        <w:t>Toute mesure d'éloignement doit respecter le principe de la proportionnalité, qui s'impose tant en droit interne qu'au regard de la Convention européenne des droits de l'homme et de l'Accord sur la libre circulation des personnes (cf. ATF 131 II 352 consid. 3.3 p. 358, 130 II 176 consid. 3.4.2 p. 184, 129 II 215 consid. 6.2 p. 220/221 et les nombreuses références citées, en particulier les arrêts de la CJCE du 28 octobre 1975, Rutili, 36-75, Rec. 1975 p. 1219, point 32; du 11 juillet 2002, Carpenter, C-60/00, Rec. 2002 I-6279, points 42 ss).</w:t>
      </w:r>
    </w:p>
    <w:p>
      <w:r>
        <w:rPr>
          <w:b/>
        </w:rPr>
        <w:t>E. 7.1</w:t>
      </w:r>
    </w:p>
    <w:p>
      <w:r>
        <w:t>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a séjourné en Suisse de 1991 à la fin de l'année 2004, puis du mois d'avril 2008 au mois de novembre 2010. Il est toutefois à noter que l'intégration de l'intéressé durant son premier séjour en Suisse ne s'est guère révélée concluante au vu de son comportement sanctionné par les autorités pénales (cf. aussi jugement du 18 octobre 2004 précité, consid. 20b/aa, p. 83). Le recourant ne peut en outre se prévaloir d'aucune intégration socioprofessionnelle : jusqu'en 2004, il n'a occupé aucune place de travail stable et ses parents ont dû subvenir à ses besoins (cf. ibid.); quant aux emplois occupés entre 2009 et 2010, ils faisaient partie des mesures de réinsertion prévues dans le cadre du régime de semi-liberté et de libération conditionnelle. Sur le plan personnel et familial, est à prendre en considération le fait que le recourant a passé en Suisse une partie de son enfance, toute son adolescence et le début de sa vie d'adulte et qu'il reste extrêmement attaché à ce pays où demeurent ses parents avec lesquels il entretient d'étroits rapports. Pour ce qui a trait à l'intérêt public, il sied de noter que les actes pour lesquels le recourant a été condamné ne sauraient être minimisés et justifient une intervention des autorités. On ne saurait en effet passer sous silence le fait que les premières infractions ont été commises alors que l'intéressé était encore mineur et qu'elles se sont poursuivies après sa majorité durant plus de quatre ans. Par ailleurs, en raison du cumul des infractions commises sur la période s'étalant entre 2000 et 2004, il existe un intérêt public indéniable à tenir le recourant éloigné de Suisse, et ce, même si ces infractions ont été commises il y a plusieurs années, compte tenu du risque de récidive (cf. consid. 6.4).</w:t>
      </w:r>
    </w:p>
    <w:p>
      <w:r>
        <w:rPr>
          <w:b/>
        </w:rPr>
        <w:t>E. 7.2</w:t>
      </w:r>
    </w:p>
    <w:p>
      <w:r>
        <w:t>Tenant compte de l'ensemble des éléments objectifs et subjectifs de la cause, le Tribunal considère que l'interdiction d'entrée en Suisse prise par l'autorité inférieure le 21 avril 2005 est nécessaire et adéquate dans son principe. Il appert toutefois, compte tenu du fait que le recourant - né en 1982 - est encore jeune, que la durée indéterminée de cette mesure est excessive. En effet, il convient de prendre en considération qu'une durée non limitée de cette mesure exclurait pour l'intéressé sur un très long terme toute perspective ou tous liens personnels et familiaux en rapport avec la Suisse. Il se justifie par conséquent de réduire la durée de dite mesure en vertu des principes de proportionnalité et d'égalité de traitement et d'en limiter les effets à dix ans. Le recours est ainsi partiellement admis et la décision de l'ODM du 21 avril 2005 est réformée en ce sens que les effets de l'interdiction d'entrée sont limités au 20 avril 2015. En conséquence, il y a lieu de mettre des frais réduits, d'un montant de 400 francs,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800 francs (TVA comprise) à titre d'indemnité pour les frais nécessaires causés par le litige apparaît comme équitable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