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C-7302/2013 vom 5. März 2015</w:t>
      </w:r>
    </w:p>
    <w:p>
      <w:r>
        <w:t>Bundesverwaltungsgericht, 2015-03-05, DE</w:t>
      </w:r>
    </w:p>
    <w:p>
      <w:r>
        <w:rPr>
          <w:b/>
        </w:rPr>
        <w:t xml:space="preserve">Quelle: </w:t>
      </w:r>
      <w:r>
        <w:t>https://mcp.opencaselaw.ch/entscheid/bvger_C-7302_2013</w:t>
      </w:r>
    </w:p>
    <w:p>
      <w:r>
        <w:t>FR: TAF C-7302/2013 du 5 mars 2015</w:t>
      </w:r>
    </w:p>
    <w:p>
      <w:r>
        <w:t>IT: TAF C-7302/2013 del 5 marzo 2015</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Art. 52 Abs. 1 VwVG). Als Adressat der angefochtenen Verfügung vom 16. Dezember 2013 (act. 128) ist der Beschwerdeführer besonders berührt und hat ein schutzwürdiges Interesse an deren Aufhebung oder Änderung (vgl. Art. 48 Abs. 1 VwVG). Nachdem auch der Kostenvorschuss von Fr. 400.- innert Frist geleistet worden ist (B-act. 4), ergibt sich zusammenfassend, dass sämtliche Prozessvoraussetzungen erfüllt sind. Auf die Beschwerde ist daher dem Grundsatz nach einzutreten (vgl. jedoch insb. E. 1.4.3 hiernach).</w:t>
      </w:r>
    </w:p>
    <w:p>
      <w:r>
        <w:rPr>
          <w:b/>
        </w:rPr>
        <w:t>E. 1.4.1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und - materiell - die in den Verfügungen geregelten Rechtsverhältnisse (BGE 125 V 413 E. 2a). Der Begriff der Verfügung bestimmt sich dabei mangels näherer Konkretisierung in Art. 49 Abs. 1 ATSG nach Massgabe von Art. 5 VwVG (BGE 130 V 388 E. 2.3). Der Verfügung gleichgestellt sind Einspracheentscheide (Art. 5 Abs. 2 VwVG).</w:t>
      </w:r>
    </w:p>
    <w:p>
      <w:r>
        <w:rPr>
          <w:b/>
        </w:rPr>
        <w:t>E. 1.4.2</w:t>
      </w:r>
    </w:p>
    <w:p>
      <w:r>
        <w:t>Anfechtungsobjekt bildet die Verfügung der Vorinstanz vom 16. Dezember 2013, mit welcher der Anspruch auf Arbeitsvermittlung abgewiesen worden ist (act. 128). Da diese Verfügung insgesamt angefochten ist, sind Anfechtungs- und Streitgegenstand identisch (vgl. hierzu BGE 131 V 164 E. 2.1; SVR 2010 BVG Nr. 14 S. 56 E. 4.1). Streitig und zu prüfen ist somit, ob der Beschwerdeführer Anspruch auf Arbeitsvermittlungsleistungen seitens der Vorinstanz hat.</w:t>
      </w:r>
    </w:p>
    <w:p>
      <w:r>
        <w:rPr>
          <w:b/>
        </w:rPr>
        <w:t>E. 1.4.3</w:t>
      </w:r>
    </w:p>
    <w:p>
      <w:r>
        <w:t>Auf eine Auseinandersetzung mit den Rügen betreffend den Verpflegungsabzug ist zu verzichten, da sich diese nicht auf den objektiv vorgegebenen Prozessgegenstand (Verfügung der IVSTA vom 16. Dezember 2013) beziehen. Diesbezüglich ist auf die Beschwerde nicht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Schweizer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(16. Dezember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Der Anspruch auf berufliche Massnahmen richtet sich auch nach dem Inkrafttreten des FZA nach schweizerischem Recht (vgl.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 ab dem 1. Januar 2008 nach den neuen Normen zu prüfen. Diese Lösung stellt zufolge ihres allgemein gültigen Bedeutungsgehalts einen für alle Rechtsverhältnisse (auch für Dauerleistungen) geltenden intertemporalrechtlichen Grundsatz auf (BGE 130 V 445 E. 1.2.1; SVR 2010 IV Nr. 59 S. 181 E. 3.1). Im vor­liegenden Verfahren fin­den demnach grundsätzlich jene Vor­schriften Anwendung, die spätestens beim Erlass der Verfü­gung vom 16. Dezember 2013 in Kraft waren. Mit Blick auf diesen Verfügungszeitpunkt können auch die Normen des vom Bundesrat auf den 1. Januar 2012 in Kraft gesetzten ersten Teils der 6. IV-Revision (IV-Revision 6a) zur Anwendung kommen.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3.1</w:t>
      </w:r>
    </w:p>
    <w:p>
      <w:r>
        <w:t>In medizinischer Hinsicht stütze sich die Vorinstanz auf das bidisziplinäre Gutachten der Dres. med. D._______, Facharzt für Neurologie, und C._______, Facharzt für Psychiatrie und Psychotherapie, vom 27. Mai 2013 (act. 116). Anlässlich der Konsensbesprechung wurde darin ausgeführt, aus psychiatrischer Sicht müsse keine Diagnose gestellt werden, die die Arbeitsfähigkeit beeinträchtige. Unter Berücksichtigung der zumutbaren Willensanstrengung sei dem Versicherten jegliche Tätigkeit zuzumuten. Dieser sollte seitens der Invalidenversicherung bei der Arbeitssuche unterstützt werden. Dies stärke sein Selbstvertrauen und mildere seinen Groll, was prophylaktisch ausgesprochen wichtig sei. Eine akute Suizidalität bestehe nicht, und eine medikamentöse Behandlung sei nicht indiziert. Aus neurologischer Sicht bestehe ein Zustand nach cerebellärem Infarkt der linken Kleinhirnhemisphäre am 2. November 2007 mit Beteiligung des Pedunculus cerebelli mit links leicht gestörter Feinmotorik, leichter Gang- und diskreter Gleichgewichtsstörung bei komplexen Gangarten und erhöhten Anforderungen an den Gleichgewichtssinn. Nachdem keine volle Arbeitsfähigkeit in der angestammten Berufstätigkeit als Maschinenmechaniker habe erzielt werden können, sei es zu einer Umschulung zum Konstrukteur gekommen, welche der Versicherte im Sommer 2011 mit sehr guten Noten habe abschliessen können. Wegen der Beeinträchtigung der Feinmotorik bestehe in der angestammten Tätigkeit als Maschinenmechaniker eine Einschränkung, welche auf zumindest 50 % einzuschätzen sei. In der neu erlernten Tätigkeit als Konstrukteur sei von einer 100%igen Arbeitsfähigkeit auszugehen. Diese Tätigkeit sei den Behinderungen angepasst. Eine Hilfestellung bei der Stellensuche sei indiziert.</w:t>
      </w:r>
    </w:p>
    <w:p>
      <w:r>
        <w:rPr>
          <w:b/>
        </w:rPr>
        <w:t>E. 3.2</w:t>
      </w:r>
    </w:p>
    <w:p>
      <w:r>
        <w:t>Die bidisziplinäre Expertise der Dres. med. D._______ und C._______ vom 27. Mai 2013 erfüllt die an den vollen Beweiswert eines ärztlichen Gutachtens gestellten Kriterien. Insbesondere ist sie für die streitigen Belange umfassend, beruht auf allseitigen Untersuchungen, berücksichtigt die geklagten Beschwerden und wurde in Kenntnis der Vorakten (Anamnese) abgegeben. Sie ist zudem in der Darlegung der medizinischen Zusammenhänge und in der Beurteilung der medizinischen Situation für die hier interessierenden Fragen einleuchtend und in den Schlussfolgerungen begründet, so dass darauf abgestellt werden kann. Demnach lässt sich der gesundheitliche Zustand des Beschwerdeführers und dessen Auswirkungen auf die Arbeits- und Leistungsfähigkeit schlüssig und zuverlässig beurteilen (vgl. BGE 125 V 353 E. 3b/bb; vgl. zum Ganzen auch E. 2.4 hiervor). Es ist demnach davon auszugehen, dass der Beschwerdeführer in der angestammten Tätigkeit als Maschinenmechaniker eine 50%ige Einschränkung aufweist und seit Juni 2011 (Abschluss der Umschulung; act. 63) in der neu erlernten Tätigkeit als Konstrukteur von einer 100%igen Leistungsfähigkeit auszugehen ist.</w:t>
      </w:r>
    </w:p>
    <w:p>
      <w:r>
        <w:rPr>
          <w:b/>
        </w:rPr>
        <w:t>E. 3.3</w:t>
      </w:r>
    </w:p>
    <w:p>
      <w:r>
        <w:t>Das Bundesverwaltungsgericht verwendet das bidisziplinäre Gutachten der Dres. med. D._______ und C._______ vom 27. Mai 2013 entsprechend den replicando vom Beschwerdeführer am 27. April 2014 gemachten Ausführungen (B-act. 10) als Beweismittel. Da diese Expertise gemäss vorstehender Erwägung 3.2 einer Würdigung unterzogen worden ist und für die Frage, ob der Beschwerdeführer in der vorliegenden Konstellation Anspruch auf Eingliederungsmassnahmen der IV hat, nicht entscheidrelevant ist, ist auch irrelevant, dass der Beschwerdeführer dieses Gutachten nicht in Kopie erhalten hat.</w:t>
      </w:r>
    </w:p>
    <w:p>
      <w:r>
        <w:rPr>
          <w:b/>
        </w:rPr>
        <w:t>E. 4.1</w:t>
      </w:r>
    </w:p>
    <w:p>
      <w:r>
        <w:t>Vorab ist zu prüfen, ob der Beschwerdeführer während der von Juli 2012 bis Oktober 2013 dauernden Arbeitslosigkeit (act. 125 S. 3) mit Arbeitslosentaggeldbezug der französischen Arbeitslosenversicherung Anspruch auf Eingliederungsmassnahmen der IV hat. Zur Begründung der Ablehnung des entsprechenden Anspruchs stützte sich die Vorinstanz resp. die IV-Stelle BL auf Rz. 1011.2 des ab 1. Juni 2002 gültigen Kreisschreibens über das Verfahren zur Leistungsfestsetzung in der AHV/IV (KSBIL; Stand: 1. Januar 2014 [recte: 2013]; Bilaterale Abkommen CH-EU; Abkommen mit der EFTA) ab (B-act. 8).</w:t>
      </w:r>
    </w:p>
    <w:p>
      <w:r>
        <w:rPr>
          <w:b/>
        </w:rPr>
        <w:t>E. 4.2</w:t>
      </w:r>
    </w:p>
    <w:p>
      <w:r>
        <w:t>Nach Ziff. 9. lit.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4.3</w:t>
      </w:r>
    </w:p>
    <w:p>
      <w:r>
        <w:t>Rz. 1011.2 KSBIL besagt, dass unter anderem Personen mit der Staatsangehörigkeit eines EU-Landes, die in der Schweiz ohne Wohnsitz zu haben eine Erwerbstätigkeit als Arbeitnehmende oder selbständig Erwerbende ausgeübt haben und den schweizerischen Rechtsvorschriften über die IV nicht mehr unterliegen, weil sie ihre existenzsichernde Erwerbstätigkeit in der Schweiz in Folge Unfalls oder Krankheit aufgeben mussten, in Bezug auf den Anspruch von Eingliederungsmassnahmen als versichert gelten. Dieser Anspruch erlischt hingegen beim Bezug einer Leistung der Arbeitslosenversicherung des Wohnlandes. Rz. 1011.2 KSBIL und mit ihr das ganze Kreisschreiben sind in genereller Hinsicht Weisungen, welche die administrativen Aufsichtsbehörden den verfügenden Durchführungsstellen erteilen, jedoch keine Rechtsnormen. Sie sind wohl für die Verwaltung, nicht aber für das Gericht verbindlich. Die Weisungen sind eine im Interesse der gleichmässigen Gesetzesanwendung abgegebene Meinungsäusserung der sachlich zuständigen Aufsichtsbehörde. Das Gericht soll sie bei seiner Entscheidung mit berücksichtigen, sofern sie eine dem Einzelfall angepasste und gerecht werdende Auslegung der anwendbaren gesetzlichen Bestimmungen zulassen. Es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132 V 121 E. 4.4). Andererseits weicht das Gericht insoweit von Weisungen ab, als sie nicht gesetzmässig sind bzw. in Ermangelung gesetzlicher Vorschriften mit den allgemeinen Grundsätzen des Bundesrechts nicht im Einklang stehen (BGE 132 V 121 E. 4.4, 130 V 163 E. 4.3.1, 126 V 421 E. 5a; SVR 1996 AHV Nr. 77 S. 234 E. 4a). Als blosse Auslegungshilfe bieten Verwaltungsweisungen keine Grundlage, um zusätzliche einschränkende materiellrechtliche Anspruchserfordernisse aufzustellen, die im Gesetz nicht enthalten sind (BGE 132 V 121 E. 4.4, 129 V 67 E. 1.1.1, 126 V 421 E. 5a; SVR 1999 IV Nr. 15 S. 44 E. 3b). Vorliegend bleibt für das Bundesverwaltungsgericht in Ermangelung eines triftigen Grundes kein Raum, von Rz. 1011.2 KSBIL abzuweichen, denn diese Bestimmung stellt eine überzeugende Konkretisierung der rechtlichen Vorgaben dar.</w:t>
      </w:r>
    </w:p>
    <w:p>
      <w:r>
        <w:rPr>
          <w:b/>
        </w:rPr>
        <w:t>E. 4.4</w:t>
      </w:r>
    </w:p>
    <w:p>
      <w:r>
        <w:t>Der bis 31. März 2012 in Kraft gewesene Art. 12 Abs. 2 der Verordnung (EWG) Nr. 1408/71 statuierte, dass beim Zusammentreffen mehrerer sozialversicherungsrechtlicher Leistungen eine innerstaatliche Regel, wonach diesfalls eine der Leistungen gekürzt, zum Ruhen gebracht oder entzogen werde, unter Vorbehalt einer anders lautenden Regel einer berechtigten Person gegenüber auch dann anwendbar sei, wenn es sich um Leistungen eines anderen Mitgliedstaates handle. Dieses Verbot des Zusammentreffens von Leistungen wurde auch in der am 1. April 2012 in Kraft getretenen Verordnungen (EG) Nr. 883/2004 in Art. 10 normiert. Da weder die Verordnung 1408/71 noch die Verordnung 883/2004 hinsichtlich der Anspruchskonkurrenz von Taggeldern der Invaliden- und der Arbeitslosenversicherung keine anders lautende Regel enthält, ist Art. 18 Abs. 4 IVV, wonach der Anspruch auf Arbeitslosentaggeld den Anspruch auf Taggelder der Invalidenversicherung verdrängt (statuierte alternative Anspruchskonkurrenz), auch in der vorliegenden Konstellation anwendbar. Dies hat auch das Bundesgericht in BGE 132 V 53 bestätigt. In diesem Entscheid wurde erwogen, dass hinsichtlich des Zwecks zwischen Wiedereingliederungsmassnahmen der Arbeitslosenversicherung und beruflichen Wiedereingliederungsmassnahmen der IV zweifelsfrei eine Gleichartigkeit besteht (E. 6.4) und unter dem Gesichtspunkt des europäischen Rechts - resp. gemäss den gesetzlichen Bestimmungen des Aufenthaltsstaates nach Inkrafttreten des FZA - die gleichzeitige Zusprache von beruflichen Wiedereingliederungsmassnahmen der IV und Leistungen der Arbeitslosenversicherung nicht vereinbar wäre mit den Pflichten von Arbeitslosen, welche sich beim zuständigen Amt des Aufenthaltsortes zur Verfügung zu stellen haben (echte Grenzgänger; diese Regelung beruht auf der Annahme, dass die Eingliederungschancen für die arbeitslose Person an ihrem Aufenthaltsort [Wohnort] am grössten sind [BGE 132 V 53 E. 6.5 und 7.3, vgl. auch BGE 133 V 137 E. 7]) oder gestellt haben.</w:t>
      </w:r>
    </w:p>
    <w:p>
      <w:r>
        <w:rPr>
          <w:b/>
        </w:rPr>
        <w:t>E. 4.5</w:t>
      </w:r>
    </w:p>
    <w:p>
      <w:r>
        <w:t>Nach dem Dargelegten ergibt sich zusammenfassend, dass der Beschwerdeführer in Anwendung der vorstehend erwähnten Normen und Weisungen sowie unter Berücksichtigung der höchstrichterlichen Rechtsprechung während des Bezugs von Arbeitslosenversicherungsleistungen in Frankreich keinen Anspruch mehr auf berufliche Eingliederungsmassnahmen der IV hatte. Da der schweizerische Nachversicherungsschutz gemäss Rz. 1011.2 KLBIL beim Bezug einer Leistung der Arbeitslosenversicherung des Wohnlandes endet, hat der Beschwerdeführer - solange er seinen zivilrechtlichen Wohnsitz in Frankreich beibehält - auch nach allfälliger Einstellung der französischen Arbeitslosenversicherungsleistungen keinen Anspruch mehr auf berufliche Eingliederungsmassnahmen der IV.</w:t>
      </w:r>
    </w:p>
    <w:p>
      <w:r>
        <w:rPr>
          <w:b/>
        </w:rPr>
        <w:t>E. 5</w:t>
      </w:r>
    </w:p>
    <w:p>
      <w:r>
        <w:t>Sollte der Beschwerdeführer hingegen seinen Wohnsitz wieder in die Schweiz verlegen und ein neues Gesuch einreichen, ist bereits im vorliegenden Urteil darauf hinzuweisen, dass laut bundesgerichtlicher Rechtsprechung zwar kein Anspruch auf Integrationsmassnahmen zur Vorbereitung auf die berufliche Eingliederung gemäss Art. 14a IVG besteht, da der Beschwerdeführer im Beruf als Konstrukteur (resp. in andern leidensadaptierten Tätigkeiten) voll arbeits- und objektiv eingliederungsfähig ist (vgl. hierzu BGE 137 V 1 E. 7.2.3). Weil in der angestammten Tätigkeit als Maschinenmechaniker eine Einschränkung von mindestens 50 % besteht, wäre jedoch die Voraussetzung von Art. 18 IVG erfüllt (vgl. hierzu BBL 2005 4459, S. 4524). Der Umstand, dass der Beschwerdeführer in der Tätigkeit als Konstrukteur objektiv eingliederungsfähig ist, vermöchte vor diesem Hintergrund resp. mit Blick auf die beantragte Arbeitsvermittlung nichts zu ändern, denn eine Arbeitsvermittlung ist namentlich auch dann angezeigt, wenn der Versicherte - wie im vorliegenden Fall - die aus einer Umschulung gewonnenen Kenntnisse und Fähigkeiten von sich aus nicht selber auf dem Arbeitsmarkt verwerten könnte (Meyer/Reichmuth, Rechtsprechung des Bundesgerichts zum IVG, 3. Auflage, Zürich/Basel/Genf 2014, Art. 18 Rz. 6). Somit wäre der subjektiv eingliederungsbereite, im Zusammenhang mit der Stellensuche eine grosse Motivation aufweisende (act. 125 S. 21 bis 29) Beschwerdeführer aufgrund der bereits länger dauernden Erfolglosigkeit resp. aufgrund des erlittenen Schlaganfalls und des damit verbundenen langen Unterbruchs im Erwerbsleben in einer dem Gesundheitszustand und den Fähigkeiten angepassten Tätigkeit auf tatkräftige, insbesondere praktisch-konkrete Unterstützung/Begleitung beim Stellensuchen angewiesen. Mit Blick auf die Umstände, dass sich der Beschwerdeführer gezwungen sah, ab Oktober 2013 die - mit Blick auf seine Ausbildungen überqualifizierte und aufgrund seiner Limitierungen im Zusammenhang mit der Feinmotorik unangepasste -Tätigkeit als Schlosser aufzunehmen, welche er im Übrigen ohne Mithilfe der Vorinstanz gefunden hat (act. 125 S. 3), der ärztlicherseits attestierten Diagnose sowie aufgrund der Tatsache, dass der Beschwerdeführer bis anhin im Beruf als Konstrukteur noch nicht hatte Fuss fassen können, wäre die von der Vorinstanz aufgeworfene Frage der Verhältnismässigkeit resp. der Notwendigkeit und der Geeignetheit der beantragten beruflichen Eingliederungsmassnahme nicht von vornherein zu verneinen, zumal die Arbeitsvermittlung eine Massnahme ohne hohe Anforderungen darstellt.</w:t>
      </w:r>
    </w:p>
    <w:p>
      <w:r>
        <w:rPr>
          <w:b/>
        </w:rPr>
        <w:t>E. 6</w:t>
      </w:r>
    </w:p>
    <w:p>
      <w:r>
        <w:t>Aufgrund der vorstehenden Erwägungen erweist sich die angefochtene Verfügung vom 16. Dezember 2013 im Ergebnis als rechtens, weshalb die dagegen erhobene Beschwerde vom 30. Dezember 2013 - soweit darauf einzutreten ist - als unbegründet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