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C-7296/2007 vom 25. Mai 2009</w:t>
      </w:r>
    </w:p>
    <w:p>
      <w:r>
        <w:t>Bundesverwaltungsgericht, 2009-05-25, FR</w:t>
      </w:r>
    </w:p>
    <w:p>
      <w:r>
        <w:rPr>
          <w:b/>
        </w:rPr>
        <w:t xml:space="preserve">Quelle: </w:t>
      </w:r>
      <w:r>
        <w:t>https://mcp.opencaselaw.ch/entscheid/bvger_C-7296_2007</w:t>
      </w:r>
    </w:p>
    <w:p>
      <w:r>
        <w:t>FR: TAF C-7296/2007 du 25 mai 2009</w:t>
      </w:r>
    </w:p>
    <w:p>
      <w:r>
        <w:t>IT: TAF C-7296/2007 del 25 maggio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2.4</w:t>
      </w:r>
    </w:p>
    <w:p>
      <w:r>
        <w:t>Il sied encore de préciser que, selon une jurisprudence constante du Tribunal fédéral, ni l'art. 6 CEDH, ni la garantie constitutionnelle du droit d'être entendu ne confèrent au justiciable le droit d'obtenir la traduction dans sa propre langue des pièces du dossier dans une langue qu'il ne maîtrise pas ou de manière seulement imparfaite. Aussi appartient-il en principe au justiciable de se faire traduire les actes officiels du dossier (ATF 131 V 35 consid. 3.3 avec références).</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La présente procédure est ainsi régie par la teneur de la LAI modifiée par la novelle du 21 mars 2003 (4ème révision). Les dispositions de la 5ème révision entrées en vigueur le 1er janvier 2008 ne sont pas applicables.</w:t>
      </w:r>
    </w:p>
    <w:p>
      <w:r>
        <w:rPr>
          <w:b/>
        </w:rPr>
        <w:t>E. 3.3</w:t>
      </w:r>
    </w:p>
    <w:p>
      <w:r>
        <w:t>Le recourant a présenté sa demande de rente le 1er décembre 2005 (pce TAF 1).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1er décembre 2004 (12 mois avant le dépôt de la demande) ou si le droit à une rente était né entre cette date et le 26 septembre 2007,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Le recourant a versé des cotisations à l'AVS/AI pendant plus d'une année au total (pce 7)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7.2</w:t>
      </w:r>
    </w:p>
    <w:p>
      <w:r>
        <w:t>En vertu des art. 12 et 13 PA et de l'art. 19 PA en relation avec l'art. 40 de la loi fédérale de procédure civile fédérale du 4 décembre 1947 (PCF, RS 273), 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notamment du rapport E 213 daté du 2 avril 2007 que l'assuré souffre de lombalgies récurrentes après intervention chirurgicale pour scoliose en 1981, qu'il présente un alcoolisme chronique et une hépatopathie récurrente d'origine probablement éthylique. Il s'agit d'un status labile (pce 29 p. 8).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la capacité de gain de l'assuré.</w:t>
      </w:r>
    </w:p>
    <w:p>
      <w:r>
        <w:rPr>
          <w:b/>
        </w:rPr>
        <w:t>E. 9.2.1</w:t>
      </w:r>
    </w:p>
    <w:p>
      <w:r>
        <w:t>L'autorité inférieure, se basant sur la prise de position du 10 juillet 2007 de la Dresse F._______ (pce 30), retient une incapacité de travail du recourant de 30% dans sa dernière activité d'ouvrier dans une usine de cristaux en tenant compte de l'exemption de tâches lourdes (pce TAF 3 p. 2). Le recourant fait pour sa part valoir que, vu son manque de formation professionnelle et les affections dont il souffre, il ne peut plus exercer une activité professionnelle quelconque.</w:t>
      </w:r>
    </w:p>
    <w:p>
      <w:r>
        <w:rPr>
          <w:b/>
        </w:rPr>
        <w:t>E. 9.2.2</w:t>
      </w:r>
    </w:p>
    <w:p>
      <w:r>
        <w:t>Le Tribunal de céans constate que l'appréciation de la Dresse F._______ s'accorde avec les deux formulaires E 213 versés au dossier. En effet, le Dr D._______, dans le rapport E 213 du 30 janvier 2006, répond à la question 11.4, demandant si l'assuré est à même d'accomplir la profession exercée jusqu'alors, que celle-ci n'est pas exigible si elle requiert le port de poids ou des flexion-extensions de la colonne vertébrale fréquents. Par ailleurs, il précise qu'une activité de substitution peut être exercée à plein temps par l'intéressé (pce 16 p. 8-10). Pour sa part, le Dr J._______, dans le deuxième rapport E 213 du 2 avril 2007, ne répond certes pas aux questions 11.4-11.6 du formulaire demandant si l'intéressé est à même d'accomplir l'activité lucrative exercée jusqu'alors à plein temps et si un travail adapté est exigible de sa part à 100%. Il indique toutefois que le recourant peut exercer de façon régulière une activité mi-lourde moyennant un certain nombre de restrictions (pas de travaux requérant des flexions répétées, le port et le levage de charge, l'emploi d'escaliers ou d'échelles). A cela s'ajoute que, selon le formulaire pour l'employeur daté du 29 juin 2006, le recourant exerçait une activité moyennement lourde consistant en la coupe, le polissage et la pose de cristaux (pce 9 p. 1). Au vu de ces éléments, l'appréciation du médecin de l'OAIE, selon laquelle le recourant présenterait une incapacité de gain de 30% dans son ancienne profession s'inscrit dans le cadre des rapports E 213 du 30 janvier 2006 et du 2 avril 2007 et ne saurait ainsi être remise en question sans motifs suffisants.</w:t>
      </w:r>
    </w:p>
    <w:p>
      <w:r>
        <w:rPr>
          <w:b/>
        </w:rPr>
        <w:t>E. 9.2.3.1</w:t>
      </w:r>
    </w:p>
    <w:p>
      <w:r>
        <w:t>Certes, le Tribunal de céans constate que le dossier contient de la documentation médicale divergente. Le rapport du 30 décembre 2004 retient ainsi que l'assuré présente des signes de lombalgies et de douleurs intenses régulières. Il est précisé qu'une étude est en cours pour déterminer si une intervention chirurgicale doit avoir lieu sur la colonne vertébrale de l'intéressé et que, vu cette situation, tout effort physique est déconseillé (pce 14). Un rapport du 19 novembre 2005 retient pour sa part succinctement que l'assuré présente une déviation lombaire très intense et que, au vu de cette affection, il n'est plus à même d'exercer son travail (pce 15). Les appréciations de ces deux certificats médicaux sont ensuite répétées telles quelles par la Dresse G._______, dans son rapport du 11 janvier 2007 (pce 23).</w:t>
      </w:r>
    </w:p>
    <w:p>
      <w:r>
        <w:rPr>
          <w:b/>
        </w:rPr>
        <w:t>E. 9.2.3.2</w:t>
      </w:r>
    </w:p>
    <w:p>
      <w:r>
        <w:t>On note toutefois que ces documents sont d'une part très succincts. D'autre part, il sied de relever que les rapports E 213 susmentionnés ont été établis postérieurement aux rapport du 30 décembre 2004 et du 19 novembre 2005 (pces 14 et 15). Les médecins de l'INSS concluent cependant que le recourant peut exercer une activité lucrative (cf. le formulaire E 213 du 30 janvier 2006 retenant que l'intéressé peut accomplir sa profession exercée jusqu'alors si elle ne requiert pas le port de poids et des flexions-extensions répétés [pce 16 p. 10] et le formulaire E 213 du 2 avril 2007, selon lequel l'assuré peut exercer une activité mi-lourde de façon régulière [pce 29 p. 8]). Dans ces conditions, le Tribunal de céans peut conclure que les rapports susmentionnés du 30 décembre 2004, du 19 novembre 2005 et du 11 janvier 2007 ne sont pas de nature à semer un doute suffisant quant à la capacité de gain du recourant telle que déterminée par la Dresse F._______. Cette appréciation est d'autant plus convainquante qu'aucun signe d'atteinte radiculaire n'a été décelée chez l'intéressé (cf. rapport E 213 du 30 janvier 2006 [pce 16 p. 5] et rapport E 213 du 2 avril 2007 [pce 29 p. 5]).</w:t>
      </w:r>
    </w:p>
    <w:p>
      <w:r>
        <w:rPr>
          <w:b/>
        </w:rPr>
        <w:t>E. 9.2.4</w:t>
      </w:r>
    </w:p>
    <w:p>
      <w:r>
        <w:t>En ce qui concerne l'alcoolisme observé chez l'assuré, il est le lieu de rappeler que, selon la jurisprudence du Tribunal fédéral, cette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112 V 165; 99 V 28, consid. 2). En l'espèce, il est fait part d'une hépatopathie d'origine probablement étylique (pce 29 p. 8). La Dresse F._______, dans son rapport du 10 juillet 2007, retient l'absence de « cirrhose avérée à l'échographie (examen de choix) [... et] d'autre[s] complication[s] de type polyneuropathie ou psychopathologie objectivée[s]. » Elle conclut sur cette base que l'hépatopathie dont souffre l'intéressé reste sans répercussion sur sa capacité de travail (pce 30 p. 1). En l'état du dossier, le Tribunal de céans ne voit pas de raisons de s'écarter de cette appréciation.</w:t>
      </w:r>
    </w:p>
    <w:p>
      <w:r>
        <w:rPr>
          <w:b/>
        </w:rPr>
        <w:t>E. 9.2.5</w:t>
      </w:r>
    </w:p>
    <w:p>
      <w:r>
        <w:t>Il sied finalement de souligner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et ATF 114 V 285 consid. 3). Dans ce contexte, la législation suisse des assurances sociales part du principe que des critères tels que l'âge, la situation familiale ou économique, un arrêt prolongé de l'activité professionnelle ou même le refus d'exercer une activité médicalement exigible ne constituent pas des circonstances relevantes pour l'octroi d'une rente d'invalidité (arrêt du Tribunal fédéral I 175/04 du 28 janvier 2005 consid. 3).</w:t>
      </w:r>
    </w:p>
    <w:p>
      <w:r>
        <w:rPr>
          <w:b/>
        </w:rPr>
        <w:t>E. 9.3</w:t>
      </w:r>
    </w:p>
    <w:p>
      <w:r>
        <w:t>Au vu de ce qui précède, il appert ainsi que le recourant ne présente pas une incapacité de gain suffisante pour faire naître un droit à des prestations de l'assurance-invalidité. C'est donc à juste titre que l'OAIE a rejeté la demande de prestation de l'assuré et le recours contre cette décision doit être rejeté.</w:t>
      </w:r>
    </w:p>
    <w:p>
      <w:r>
        <w:rPr>
          <w:b/>
        </w:rPr>
        <w:t>E. 10</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du même montant.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