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C-7291/2009 vom 14. September 2010</w:t>
      </w:r>
    </w:p>
    <w:p>
      <w:r>
        <w:t>Bundesverwaltungsgericht, 2010-09-14, FR</w:t>
      </w:r>
    </w:p>
    <w:p>
      <w:r>
        <w:rPr>
          <w:b/>
        </w:rPr>
        <w:t xml:space="preserve">Quelle: </w:t>
      </w:r>
      <w:r>
        <w:t>https://mcp.opencaselaw.ch/entscheid/bvger_C-7291_2009</w:t>
      </w:r>
    </w:p>
    <w:p>
      <w:r>
        <w:t>FR: TAF C-7291/2009 du 14 septembre 2010</w:t>
      </w:r>
    </w:p>
    <w:p>
      <w:r>
        <w:t>IT: TAF C-7291/2009 del 14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décision du SPOP du 16 février 2009 d'octroyer une autorisation de séjour à A._______, soit postérieurement à l'entrée en vigueur de la LEtr. C'est ainsi le nouveau droit qui est applicable à la présente cause.</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août 2010). Il s'ensuit que ni le TAF, ni l'ODM ne sont liés par la décision du SPOP du 16 février 2009 d'accorder une autorisation de séjour à A._______ et peuvent parfaitement s'écarter de l'appréciation faite par cette autorité.</w:t>
      </w:r>
    </w:p>
    <w:p>
      <w:r>
        <w:rPr>
          <w:b/>
        </w:rPr>
        <w:t>E. 4</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2C_65/2010 du 19 mai 2010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2C_216/2009 du 20 août 2009 consid. 2.1).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w:t>
      </w:r>
    </w:p>
    <w:p>
      <w:r>
        <w:rPr>
          <w:b/>
        </w:rPr>
        <w:t>E. 5.1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arrêt du Tribunal fédéral 2C_565/2009 du 18 février 2010 consid. 2.1.1, jurisprudence et doctrine citées).</w:t>
      </w:r>
    </w:p>
    <w:p>
      <w:r>
        <w:rPr>
          <w:b/>
        </w:rPr>
        <w:t>E. 5.2</w:t>
      </w:r>
    </w:p>
    <w:p>
      <w:r>
        <w:t>En l'espèce, l'examen du dossier laisse apparaître que le recourante a vécu en communauté conjugale avec son époux suisse du 3 juin 2003 au 4 octobre 2006 (date de l'annonce de leur séparation au Service de la population de la commune de Renens) et que leur union conjugale a ainsi duré plus de trois ans au sens de l'art. 50 al. 1 let. a LEtr. Il convient dès lors d'examiner si l'intégration de la recourante peut être considérée comme réussie au sens de l'art. 50 al. 1 let. a in fine LEtr.</w:t>
      </w:r>
    </w:p>
    <w:p>
      <w:r>
        <w:rPr>
          <w:b/>
        </w:rPr>
        <w:t>E. 5.3</w:t>
      </w:r>
    </w:p>
    <w:p>
      <w:r>
        <w:t>Selon l'art. 77 al. 4 OASA, l'étranger s'est bien intégré au sens de l'art. 50 al. 1 let. a LEtr et de l'art. 77 al. 1 let. a OASA, notamment lorsqu'il: a) respecte l'ordre juridique et les valeurs de la Constitution fédérale; b) manifeste sa volonté de participer à la vie économique et d'apprendre la langue nationale parlée au lieu de domicile. En l'espèce, il s'impose de constater que, depuis son arrivée en Suisse et son mariage du 3 juin 2003 avec B._______, A._______ a vécu durant cinq années des prestations de l'aide sociale et qu'elle n'a entrepris une activité lucrative qu'en mai 2008, d'abord comme employée dans la vente de produits cosmétiques, puis comme esthéticienne à domicile. Le fait que la recourante n'ait réussi à assurer son indépendance financière qu'après cinq ans de séjour en Suisse pèse dès lors négativement sur l'appréciation de ses facultés d'intégration. De plus, les explications qu'elle a fournies dans ses observations à l'ODM pour expliquer son oisiveté en Suisse "je n'ai pas travaillé, car j'ai dû apprendre le français", sont en contradiction avec l'allégation de son recours, selon laquelle elle parlait "parfaitement le français". Le Tribunal relève enfin que la recourante n'a pas démontré s'être créé des attaches sociales particulièrement profondes et durables avec la Suisse, notamment au travers de relations d'amitié, de travail, de voisinage, les seules relations invoquées avec son époux dont elle est séparée et avec sa soeur péruvienne résidant à Renens ne parlant pas en faveur d'une réelle volonté d'intégration avec son environnement social en Suisse. En conséquence, le Tribunal rejoint l'appréciation de l'ODM, selon laquelle l'intégration de A._______ ne peut être considérée comme réussie au sens de l'art. 50 al. 1 let. a in fine LEtr.</w:t>
      </w:r>
    </w:p>
    <w:p>
      <w:r>
        <w:rPr>
          <w:b/>
        </w:rPr>
        <w:t>E. 5.4</w:t>
      </w:r>
    </w:p>
    <w:p>
      <w:r>
        <w:t>Cela étant, il convient d'examiner encore, sur un autre plan, si la poursuite du séjour en Suisse de la recourante s'impose pour des raisons personnelles majeures au sens de l'art. 50 al. 1 let. b LEtr. Comme rappelé supra, l'art. 50 al. 1 let. b et al. 2 LEtr a pour vocation d'éviter les cas de rigueur ou d'extrême gravité qui peuvent être provoqués notamment par la violence conjugale, le décès du conjoint ou des difficultés de réintégration dans le pays d'origine. Il convient de relever d'abord que la recourante ne se trouve pas dans une situation de violence conjugale qui aurait provoqué la séparation du couple, ni de décès du conjoint et que sa situation est donc à examiner uniquement en considération d'éventuelles difficultés de réintégration dans son pays d'origine.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w:t>
      </w:r>
    </w:p>
    <w:p>
      <w:r>
        <w:rPr>
          <w:b/>
        </w:rPr>
        <w:t>E. 5.5</w:t>
      </w:r>
    </w:p>
    <w:p>
      <w:r>
        <w:t>En l'espèce, bien que A._______ séjourne en Suisse depuis plus de sept ans, il n'apparaît pas qu'elle se serait créé avec ce pays des attaches particulièrement étroites au point de la rendre étrangère à son pays d'origine. Il convient de relever en effet que la recourante a passé au Pérou son enfance, son adolescence et les premières années de sa vie d'adulte, années qui apparaissent comme essentielles pour la formation de la personnalité et, partant, pour l'intégration sociale et culturelle. Elle y dispose encore d'une partie de sa famille. De plus, compte tenu de sa double formation de coiffeuse et d'esthéticienne, elle bénéficie de capacités professionnelles susceptibles de faciliter son retour au Pérou. S'il est certes probable qu'elle s'y retrouvera dans une situation économique moins favorable que celle qu'elle a connue en Suisse, cet élément ne suffit pas à admettre l'existence de raisons personnelles majeures. Le fait que la recourante soit, comme elle l'affirme, bien intégrée en Suisse et qu'elle ait un emploi depuis plus de deux ans, n'est pas non plus déterminant à cet égard (cf. arrêt 2C_544/2009 du 25 mars 2010 consid. 4.2). Dans ces circonstances, l'examen du dossier ne permet pas de retenir que la réintégration sociale de la recourante dans son pays d'origine serait fortement compromise et que la poursuite de son séjour en Suisse s'imposerait dès lors pour des raisons personnelles majeures au sens de l'art. 50 al. 1 let. b LEtr.</w:t>
      </w:r>
    </w:p>
    <w:p>
      <w:r>
        <w:rPr>
          <w:b/>
        </w:rPr>
        <w:t>E. 6</w:t>
      </w:r>
    </w:p>
    <w:p>
      <w:r>
        <w:t>En considération de ce qui précède, le Tribunal est amené à conclure que l'ODM n'a ni excédé ni abusé de son pouvoir d'appréciation en retenant que la recourante ne remplissait pas les conditions de l'art. 50 LEtr et en refusant ainsi de donner son approbation à l'octroi d'une autorisation de séjour en sa faveur.</w:t>
      </w:r>
    </w:p>
    <w:p>
      <w:r>
        <w:rPr>
          <w:b/>
        </w:rPr>
        <w:t>E. 7</w:t>
      </w:r>
    </w:p>
    <w:p>
      <w:r>
        <w:t>La recourante n'obtenant pas d'autorisation de séjour en Suisse, c'est également à bon droit que l'autorité inférieure a prononcé son renvoi, en application de l'art. 66 al. 1 LEtr. A._______ ne démontre pas l'existence d'obstacles à son retour au Pérou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En conclusion, la décision du 16 octobre 2009 est conforme au droit. Le recours est en conséquence rejeté. Vu l'issue de la cause, les frais de procédure, d'un montant de Fr. 1000.-, sont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