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C-728/2006 vom 12. März 2008</w:t>
      </w:r>
    </w:p>
    <w:p>
      <w:r>
        <w:t>Bundesverwaltungsgericht, 2008-03-12, DE</w:t>
      </w:r>
    </w:p>
    <w:p>
      <w:r>
        <w:rPr>
          <w:b/>
        </w:rPr>
        <w:t xml:space="preserve">Quelle: </w:t>
      </w:r>
      <w:r>
        <w:t>https://mcp.opencaselaw.ch/entscheid/bvger_C-728_2006</w:t>
      </w:r>
    </w:p>
    <w:p>
      <w:r>
        <w:t>FR: TAF C-728/2006 du 12 mars 2008</w:t>
      </w:r>
    </w:p>
    <w:p>
      <w:r>
        <w:t>IT: TAF C-728/2006 del 12 marzo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Mit Inkrafttreten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Inkrafttreten des AuG eingereicht wurden (Art. 126 Abs. 1 AuG). Da die der Beschwerde zugrunde liegenden Einreisebegehren am 22. Mai 2006 eingereicht wurden, finden somit die zu diesem Zeitpunkt geltenden Bestimmungen des aANAG sowie die gestützt darauf erlassenen Vollziehungsvorschriften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Die Beschwerdeführer sind gemäss Art. 48 VwVG zur Beschwerde berechtigt. Auf die frist- und formgerechte Beschwerde ist - soweit es um das Einreisebegehren geht - einzutreten (Art. 49 - 52 VwVG).</w:t>
      </w:r>
    </w:p>
    <w:p>
      <w:r>
        <w:rPr>
          <w:b/>
        </w:rPr>
        <w:t>E. 2</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der Verordnung vom 14. Januar 1998 über Einreise und Anmeldung von Ausländerinnen und Ausländern [aVEA, AS 1998 194]).</w:t>
      </w:r>
    </w:p>
    <w:p>
      <w:r>
        <w:rPr>
          <w:b/>
        </w:rPr>
        <w:t>E. 2.1</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3</w:t>
      </w:r>
    </w:p>
    <w:p>
      <w:r>
        <w:t>Das BFM hatte die Schweizer Vertretung in Karachi am 9. August 2006 zunächst ermächtigt, der Beschwerdeführerin und ihrer Tochter ein Visum für einen dreimonatigen Besuchsaufenthalt in der Schweiz auszustellen. Wie aus der Verfügung vom 12. Oktober 2006 hervorgeht, wurde diese Ermächtigung jedoch widerrufen und das Gesuch um Bewilligung der Einreise abgewiesen.</w:t>
      </w:r>
    </w:p>
    <w:p>
      <w:r>
        <w:rPr>
          <w:b/>
        </w:rPr>
        <w:t>E. 3.1</w:t>
      </w:r>
    </w:p>
    <w:p>
      <w:r>
        <w:t>Die Verwaltungsbehörden können Verfügungen unter bestimmten Voraussetzungen ändern. Ob es sich bei der Ermächtigung zur Visumserteilung vom 9. August 2006 um eine Verfügung im Sinne von Art. 5 VwVG handelt, sei dahingestellt. Immerhin erlaubt Art. 15 aVEA die nachträgliche formlose Aufhebung eines bereits ausgestellten Visums, so dass dies erst recht für die Ermächtigung zur Visumserteilung gelten muss. Demzufolge stellt sich vorliegend die Frage nach der Rechtmässigkeit und Angemessenheit der damit einhergehenden Visumsverweigerung.</w:t>
      </w:r>
    </w:p>
    <w:p>
      <w:r>
        <w:rPr>
          <w:b/>
        </w:rPr>
        <w:t>E. 3.2</w:t>
      </w:r>
    </w:p>
    <w:p>
      <w:r>
        <w:t>Die Vorinstanz hat ihre Verfügung vom 12. Oktober 2006 damit begründet, dass die vom Gastgeber eingereichten Ehedokumente nicht der Wahrheit entsprochen hätten und dass damit die Erschleichung eines Visums beabsichtigt worden sei. Dieser Vorwurf lässt sich jedoch nicht aufrecht erhalten, denn immerhin geht aus den Akten hervor, dass gerade vor dem Hintergrund der bezüglich der Personenstandsurkunden bestehenden Rechtsunsicherheit ein Visumsgesuch gestellt wurde (vgl. Beilage 6 der Beschwerde).</w:t>
      </w:r>
    </w:p>
    <w:p>
      <w:r>
        <w:rPr>
          <w:b/>
        </w:rPr>
        <w:t>E. 3.2.1</w:t>
      </w:r>
    </w:p>
    <w:p>
      <w:r>
        <w:t>Es ist allerdings festzuhalten, dass das Bundesverwaltungsgericht im Beschwerdeverfahren das Bundesrecht von Amtes wegen anwendet.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 389/2006 vom 4. Juni 2007 E. 2 und C-81/2006 vom 13. März 2007 E. 3 mit Hinweisen).</w:t>
      </w:r>
    </w:p>
    <w:p>
      <w:r>
        <w:rPr>
          <w:b/>
        </w:rPr>
        <w:t>E. 3.2.2</w:t>
      </w:r>
    </w:p>
    <w:p>
      <w:r>
        <w:t>Somit bleibt im vorliegenden Fall zu prüfen, ob das Visum aus anderen Gründen zu verweigern ist. Dies ist beispielsweise auch dann möglich, wenn begründete Zweifel am Aufenthaltszweck bestehen (vgl. Art. 14 Abs. 2 Bst. c aVEA) oder wenn die Ausländerin oder der Ausländer die Einreisevoraussetzungen nach Art. 1 aVEA nicht erfüllt (vgl. Art. 14 Abs. 1 aVEA). Bei der zuletzt genannten Voraussetzung stellt sich unter anderem die Frage, ob Personen, die in die Schweiz reisen möchten, Gewähr bieten, dass sie fristgerecht wieder ausreisen werden (Art. 1 Abs. 2 Bst. c. aVEA). Die Prüfung dieses Kriteriums erfordert somit die Beurteilung eines zukünftigen Verhaltens. Dazu lassen sich in der Regel keine gesicherten Feststellungen, sondern lediglich Voraussagen machen. Dabei sind sämtliche Umstände des konkreten Einzelfalles zu würdigen.</w:t>
      </w:r>
    </w:p>
    <w:p>
      <w:r>
        <w:rPr>
          <w:b/>
        </w:rPr>
        <w:t>E. 4</w:t>
      </w:r>
    </w:p>
    <w:p>
      <w:r>
        <w:t>Anhaltspunkte zur Beurteilung der fristgerechten Wiederausreise können sich aus der allgemeinen Lage im Herkunftsland der gesuchstellenden Person ergeben. Insbesondere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4.1</w:t>
      </w:r>
    </w:p>
    <w:p>
      <w:r>
        <w:t>Der in Pakistan am 3. November 2007 von Präsident Musharraf ausgerufene Notstand hat dazu geführt, dass wichtige Grundrechte und Freiheiten - deren Durchsetzung ohnehin schwierig war - eingeschränkt wurden und trotz der mittlerweile wieder aufgehobenen Notstandssituation eingeschränkt blieben. Insbesondere die Ermordung der Führerin der Oppositionspartei, Benazir Bhutto, am 27. Dezember 2007 hat weiterhin zur Verschärfung der innenpolitischen Situation, die zunehmend von religiös motiviertem Extremismus geprägt wird, beigetragen. Die pakistanische Wirtschaft konnte zwar in den vergangenen Jahren ein beachtliches Wachstum verzeichnen. Allerdings zählt Pakistan, dessen Bevölkerung mehrheitlich aus Analphabeten besteht, weiterhin zu den Ländern mit niedrigen Einkommen. Trotz der eingeleiteten Reformen zur Armutsbekämpfung und zur Schaffung von Arbeitsplätzen bleibt diesbezüglich ein grosser Handlungsbedarf bestehen (Quelle: http://www. auswaertiges-amt.de, Stand: Januar 2008). Vor diesem Hintergrund und unter Berücksichtigung, dass die Bereitschaft auszuwandern, erfahrungsgemäss dort begünstigt wird, wo bereits Angehörige oder Bekannte im Ausland leben, ist das Risiko einer nicht fristgerechten Wiederausreise generell als relativ hoch einzuschätzen.</w:t>
      </w:r>
    </w:p>
    <w:p>
      <w:r>
        <w:rPr>
          <w:b/>
        </w:rPr>
        <w:t>E. 4.2</w:t>
      </w:r>
    </w:p>
    <w:p>
      <w:r>
        <w:t>Es wäre jedoch zu schematisch und nicht haltbar, ausschliesslich aufgrund der allgemeinen Lage im Herkunftsland auf eine nicht hinreichend gesicherte Wiederausreise zu schliessen. Die soeben dargelegten Umstände entbinden daher nicht von einer einzelfallbezogenen Beurteilung. Namentlich können berufliche, gesellschaftliche oder familiäre Verpflichtungen die Prognose einer anstandslosen Wiederausreise begünstigen.</w:t>
      </w:r>
    </w:p>
    <w:p>
      <w:r>
        <w:rPr>
          <w:b/>
        </w:rPr>
        <w:t>E. 5</w:t>
      </w:r>
    </w:p>
    <w:p>
      <w:r>
        <w:t>Diesbezüglich ist festzustellen, dass über die gesellschaftlichen und familiären Verpflichtungen der Beschwerdeführerin in ihrem Heimatland keine Angaben gemacht wurden. Dass Y._______ dort auch keiner Berufstätigkeit nachgeht, lässt vermuten, dass sie in Pakistan über keine besonders engen Beziehungen, die sie zu einer Rückkehr motivieren könnten, verfügt. Demgegenüber ergibt sich aus den Akten, dass sie und der Beschwerdeführer - wobei Zeitpunkt und Umstände unklar sind - in Pakistan die Ehe geschlossen haben und dass aus ihrer gemeinsamen Beziehung die Tochter Z._______ hervorgegangen ist. Weder die Eheschliessung noch die Geburt der Tochter konnten bisher ins schweizerische Zivilstandsregister eingetragen werden. Die Einladung des Beschwerdeführers verfolgt denn auch den Zweck, entsprechende Bemühungen in Anwesenheit von Ehefrau und Tochter weiterzubetreiben. In der Beschwerdeschrift (S. 6) wird diesbezüglich geltend gemacht, es sei sehr wichtig, "aus dem Teufelskreis behördlicher Zuständigkeiten herauszukommen und neue Beweise auf den Tisch zu legen (...). Mindestens in Bezug auf seine Vaterschaft und das Alter von Z._______ lassen sich solche Beweise nur in der Schweiz beschaffen (...)". Dieses Vorbringen wird in der Eingabe vom 9. Februar 2007 (S. 4) wiederholt, wobei der Parteienvertreter sich bereit erklärt, ein gerichtliches Verfahren um Berichtigung des Zivilstandsregisters einzuleiten, sobald das Einreisedatum für Ehefrau und Tochter bekannt sei.</w:t>
      </w:r>
    </w:p>
    <w:p>
      <w:r>
        <w:rPr>
          <w:b/>
        </w:rPr>
        <w:t>E. 5.1</w:t>
      </w:r>
    </w:p>
    <w:p>
      <w:r>
        <w:t>Damit wird jedoch verkannt, dass die Verfahren um Berichtigung des Zivilstandsregisters und um Erteilung der Einreisebewilligung nichts miteinander zu tun haben. Die Verfügung des Amtes für Gemeinden des Kantons Solothurn vom 5. September 2005 verweigerte die Beurkundungen der angeblich am 11. Januar 2002 in Pakistan geschlossenen Ehe und der angeblich am 26. September 2002 erfolgten Geburt der Tochter Z._______. Unter Ziffer 4 des dortigen Dispositivs wurden die Ehegatten aufgefordert, der kantonalen Aufsichtsbehörde eine verifizierte und durch die Schweizer Vertretung beglaubigte neue Eheurkunde und eine neue ebensolche Geburtsurkunde der Tochter vorzulegen. Weiterhin wurde der Beschwerdeführer darauf hingewiesen, dass er beim zuständigen Gericht auf Eintragung der streitigen Angaben klagen könne. Beide Möglichkeiten wurden jedoch nicht ausgeschöpft, was in der Beschwerdeschrift (S. 5) damit begründet wurde, dass die damit verbundene Einschaltung der Schweizerischen Botschaft in Islamabad keinen Erfolg verspreche.</w:t>
      </w:r>
    </w:p>
    <w:p>
      <w:r>
        <w:rPr>
          <w:b/>
        </w:rPr>
        <w:t>E. 5.2</w:t>
      </w:r>
    </w:p>
    <w:p>
      <w:r>
        <w:t>Das Beschwerdevorbringen macht deutlich, dass die Beschwerdeführer das für die Berichtigung des Zivilstandsregisters eigentlich vorgesehene Verfahren umgehen und sich während des familiären Zusammentreffens in der Schweiz um die Lösung der entsprechenden Probleme kümmern wollen. Auf welche Weise dies geschehen soll, bleibt offen, wobei es jedoch auf der Hand liegt, dass die hierfür ins Auge gefasste DNA-Untersuchung und Altersbestimmung der Tochter nicht ausreicht. Angesichts der vom Parteienvertreter bekundeten Bereitschaft, nach der Einreise von Y._______ und ihrer Tochter ein Verfahren um Berichtigung des Zivilstandsregisters einzuleiten, und angesichts der geäusserten Befürchtung, in Pakistan keine für die Schweizer Behörden glaubwürdigen Abklärungen vornehmen zu können, stellt sich somit auch die Frage nach dem tatsächlichen Aufenthaltszweck (vgl. Art. 14 Abs. 2 Bst. c aVEA) der Beschwerdeführerin in der Schweiz. Denn immerhin würde ein erneut eingeleitetes Verfahren um Berichtigung des Zivilstandsregisters langwierig sein und mit Sicherheit nicht innerhalb der maximalen Visumsdauer von drei Monaten abgeschlossen werden können. Aus diesem Grund besteht eine hohe Wahrscheinlichkeit, dass die Beschwerdeführer alle Möglichkeiten ausschöpfen werden, um den weiteren Verbleib von Ehefrau und Tochter in der Schweiz sicherzustellen. Von den Beschwerdeführern wird zwar bestritten, dass ein Familiennachzug beabsichtigt wird bzw. erzwungen werden soll; angesichts des Umstands, dass der Beschwerdeführer Schweizer Bürger ist und somit seinen Angehörigen grundsätzlich einen Aufenthaltsanspruch vermitteln kann, sowie angesichts des über das Wiedersehen hinausgehenden Besuchszwecks erscheint diese Beteuerung jedoch nicht glaubhaft. Immerhin ging auch das Generalkonsulat in Karachi davon aus, dass die Ausstellung der beantragten Einreisevisa dem Familiennachzug dienen sollte (vgl. den im BFM-Dossier befindlichen Ausdruck der E-Mail vom 6. Oktober 2006 von Inge Tscheng, EDA, an Peter Summermatter, BFM).</w:t>
      </w:r>
    </w:p>
    <w:p>
      <w:r>
        <w:rPr>
          <w:b/>
        </w:rPr>
        <w:t>E. 5.3</w:t>
      </w:r>
    </w:p>
    <w:p>
      <w:r>
        <w:t>Aus den vorstehenden Erwägungen ergibt sich, dass der geltend gemachte Aufenthaltszweck der Beschwerdeführerin und ihrer Tochter und damit auch deren fristgerechte Wiederausreise zu bezweifeln ist (vgl. Art. 14 Abs. 2 Bst. c aVEA und Art. 14 Abs. 1 i.V.m. Art. 1 Abs. 2 Bst. c aVEA), woran auch die gegenteiligen Zusicherungen der Beschwerdeführer nichts zu ändern vermögen.</w:t>
      </w:r>
    </w:p>
    <w:p>
      <w:r>
        <w:rPr>
          <w:b/>
        </w:rPr>
        <w:t>E. 6</w:t>
      </w:r>
    </w:p>
    <w:p>
      <w:r>
        <w:t>Dem öffentlichen Interesse an der Einhaltung der Einreisevorschriften steht das Interesse der Beschwerdeführer an einem von staatlichen Eingriffen ungestörten Familienleben gegenüber, welches in allgemeiner Weise von Art. 13 der Bundesverfassung der Schweizerischen Eidgenossenschaft vom 18. April 1999 (BV, SR 101) und Art. 8 der Konvention zum Schutze der Menschenrechte und Grundfreiheiten vom 4. November 1950 (EMRK, SR 0.101) geschützt wird. Damit stellt sich die Frage, ob die Verweigerung der Einreise vor diesen Bestimmungen standhält.</w:t>
      </w:r>
    </w:p>
    <w:p>
      <w:r>
        <w:rPr>
          <w:b/>
        </w:rPr>
        <w:t>E. 6.1</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Garantien des Privat- und Familienlebens, Schweizerisches Zentralblatt für Staats- und Verwaltungsrecht [ZBL], 2003, S. 241). Im vorliegenden Fall geht es um den persönlichen Kontakt zwischen Ehegatten und zwischen Vater und minderjähriger Tochter. Die Pflege solcher Kontakte im Rahmen eines Besuchsaufenthalts kann in den Schutzbereich von Art. 8 EMRK fallen (vgl. Urteil des Bundesgerichts 2A.10/2001 vom 11. Mai 2001 E. 2b).</w:t>
      </w:r>
    </w:p>
    <w:p>
      <w:r>
        <w:rPr>
          <w:b/>
        </w:rPr>
        <w:t>E. 6.2</w:t>
      </w:r>
    </w:p>
    <w:p>
      <w:r>
        <w:t>Die EMRK bzw. die BV garantieren indessen kein Recht auf Einreise oder auf ein Familienleben an einem bestimmten Ort (vgl. BGE 130 II 281 E. 3.1 [mit Hinweisen]; ferner Stephan Breitenmoser, in: Bernhard Ehrenzeller/Philippe Mastronardi/ 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Ein Eingriff in den Schutzbereich des Familienlebens läge daher grundsätzlich erst vor, wenn sich die Betroffenen überhaupt nirgends treffen könnten und der persönliche Kontakt deshalb nur in der Schweiz möglich wäre. Die Visumsverweigerung für Y._______ und die Tochter Z._______ würde somit erst dann zu einem Eingriff führen, wenn dem Ehemann bzw. Vater Reisen ins Ausland generell oder zumindest noch während längerer Zeit verwehrt wären und damit der Kontakt verunmöglicht würde. Es ist jedoch nicht ersichtlich und wird auch nicht geltend gemacht, dass es dem Beschwerdeführer nicht möglich wäre, den persönlichen Kontakt zu seinen Angehörigen im Heimatland oder in einem Drittstaat zu pflegen. Vor diesem Hintergrund vermag das Interesse der Ehegatten auf persönlichen Kontakt das öffentliche Interesse an der Einhaltung der Einreisebestimmungen nicht zu überwiegen.</w:t>
      </w:r>
    </w:p>
    <w:p>
      <w:r>
        <w:rPr>
          <w:b/>
        </w:rPr>
        <w:t>E. 7</w:t>
      </w:r>
    </w:p>
    <w:p>
      <w:r>
        <w:t>Aus diesen Darlegungen folgt, dass die angefochtene Verfügung im Ergebnis rechtmässig ist (Art. 49 VwVG). Die Beschwerde ist demzufolge abzuweisen.</w:t>
      </w:r>
    </w:p>
    <w:p>
      <w:r>
        <w:rPr>
          <w:b/>
        </w:rPr>
        <w:t>E. 8</w:t>
      </w:r>
    </w:p>
    <w:p>
      <w:r>
        <w:t>Bei diesem Ausgang des Verfahrens sind die Kosten den Beschwerdeführern aufzuerlegen (Art. 63 Abs. 1 VwVG in Verbindung mit Art. 1 bis Art. 3 lit. b des Reglements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