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C-7286/2009 vom 17. September 2010</w:t>
      </w:r>
    </w:p>
    <w:p>
      <w:r>
        <w:t>Bundesverwaltungsgericht, 2010-09-17, IT</w:t>
      </w:r>
    </w:p>
    <w:p>
      <w:r>
        <w:rPr>
          <w:b/>
        </w:rPr>
        <w:t xml:space="preserve">Quelle: </w:t>
      </w:r>
      <w:r>
        <w:t>https://mcp.opencaselaw.ch/entscheid/bvger_C-7286_2009</w:t>
      </w:r>
    </w:p>
    <w:p>
      <w:r>
        <w:t>FR: TAF C-7286/2009 du 17 septembre 2010</w:t>
      </w:r>
    </w:p>
    <w:p>
      <w:r>
        <w:t>IT: TAF C-7286/2009 del 17 settembre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versato un anticipo di Fr. 300.-, corrispondente alle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precisato che, a partire dal 1° gennaio 2008, la presente procedura è retta dalla LAI nel suo tenore modificato il 6 ottobre 2006 (V revisione), ritenuto il principio secondo il quale le norme applicabili sono quelle in vigore al momento in cui dei fatti giuridicamente rilevanti si sono verificati (ATF 130 V 445 consid. 1.2). Il periodo di cognizione giudiziaria dello scrivente Tribunale amministrativo federale si estende fino al 14 ottobre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w:t>
      </w:r>
    </w:p>
    <w:p>
      <w:r>
        <w:t>Dopo il rimpatrio, l'interessato ha regolarmente lavorato come muratore fino al 17 ottobre 2008 quando ha subito un infortunio. Da allora non ha più ripreso attività lucrativa. La nozione d'invalidità di cui all'art. 4 LAI e 8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ragionevolmente esigibili dall'assicurato, ma non spetta al medico graduare l'invalidità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w:t>
      </w:r>
    </w:p>
    <w:p>
      <w:r>
        <w:t>Nel caso in esame è stata evidenziata la diagnosi di esiti di frattura del femore destro osteosintetizzata, ipertensione arteriosa, iperuricemia. La documentazione medica esibita con il ricorso attesta anche una gonalgia a destra e cruralgie a destra (dolori lungo la faccia anteriore delle cosce) ricorrenti.</w:t>
      </w:r>
    </w:p>
    <w:p>
      <w:r>
        <w:rPr>
          <w:b/>
        </w:rPr>
        <w:t>E. 9.1</w:t>
      </w:r>
    </w:p>
    <w:p>
      <w:r>
        <w:t>Non concordi sono i pareri circa le ripercussioni invalidanti delle menzionate affezioni. In effetti, il medico dell'INPS pone un tasso d'invalidità del 50% pur precisando che l'assicurato potrebbe svolgere un'attività leggera (doc. 18, cifra 9). Dal canto loro, i Dott.ri Bähler e Lehmann dell'UAIE ritengono che l'interessato potrebbe riprendere il suo precedente lavoro (in misura del cento per cento per il Dott. Bähler, in misura del 70% almeno secondo il Dott. Lehmann). Altre attività più leggere sarebbero comunque proponibili al 100%.</w:t>
      </w:r>
    </w:p>
    <w:p>
      <w:r>
        <w:rPr>
          <w:b/>
        </w:rPr>
        <w:t>E. 9.2</w:t>
      </w:r>
    </w:p>
    <w:p>
      <w:r>
        <w:t>La patologia principale che affligge l'assicurato è di tipo ortopedico e precisamente quella inerente alla frattura del femore destro (persosottocanterica), che è stata osteosintetizzata. La documentazione oggettiva depositata ad atti ha permesso di constatare che l'evoluzione post-operatoria è stata più che soddisfacente. Dopo l'intervento, l'interessato ha sicuramente trascorso un periodo di assoluta incapacità di lavoro. Dopo un periodo di convalescenza (febbraio 2009), in base ai verbali sanitari dell'INAIL, la frattura appariva ben consolidata con i mezzi di sintesi in situ; la deambulazione era corretta, sebbene necessitante di tutore (appoggio antibrachiale, bastone o stampella); il trofisomo muscolare in loco era normale, la flessione dell'anca era completa. Nel marzo 2009, l'esame ortopedico evidenziava l'abbandono definitivo degli appoggi. La mobilità dell'anca colpita e del ginocchio sottostante erano ottimali; si notava una ipotrofia gluteale e del quadricipite destro con caduta dell'arto comportante un'andatura anserina. Ancora più in aprile 2009 la patologia appariva in fase di completa stabilizzazione, sia soggettiva che clinica. Il Dott. Lehmann, in sede ricorsuale, osserva che la documentazione esibita con il gravame non evidenzia novità di rilievo. Egli ricorda che oggi (in base ai progressi in campo medico), un intervento all'anca, in una persona di età ancora attiva nel lavoro e sana, comporta, dopo qualche mese di convalescenza, una "restitutio ad integrum". Egli ritiene, in base agli atti esibiti, che tale sia il caso di A._______. Tuttavia, atteso che l'attività di muratore comporta compiti anche pesanti, il medico dell'UAIE giudica che tale lavoro sia ora esercitabile in misura ridotta, ossia il 70% e ciò in considerazione, anche, dell'età dell'insorgente. Lo stesso potrebbe comunque svolgere lavori più leggeri in misura completa.</w:t>
      </w:r>
    </w:p>
    <w:p>
      <w:r>
        <w:rPr>
          <w:b/>
        </w:rPr>
        <w:t>E. 9.3</w:t>
      </w:r>
    </w:p>
    <w:p>
      <w:r>
        <w:t>Per il resto, l'assicurato si presenta in buone condizioni generali di salute, ogni altro organo od apparato essendo indenne da patologie. L'ipertensione arteriosa, infatti, investigata in modo approfondito con un completo esame cardiologico, non ha posto in evidenza patologie cardiocircolatorie. Il disturbo in esame è dunque emendabile tamite appropriata cura farmacologica. Alla luce di quanto esposto al considerando precedente, l'assunzione pendente causa di ricorso di ulteriori mezzi di prova, in particolare l'esecuzione di una perizia specialistica, non risulta necessaria, contrariamente a quanto sostenuto nel ricorso (sulla valutazione anticipata delle prove vedi DTF 124 V 94 consid. 4b; 122 V 162 consid. 1d con i rif.; SVR 2001 IV n. 10, p.27).</w:t>
      </w:r>
    </w:p>
    <w:p>
      <w:r>
        <w:rPr>
          <w:b/>
        </w:rPr>
        <w:t>E. 9.4</w:t>
      </w:r>
    </w:p>
    <w:p>
      <w:r>
        <w:t>Da quanto precede, il collegio giudicante ritiene che l'interessato, dopo un periodo di convalescenza di 4-6 mesi, avrebbe potuto riprendere, in modo progressivo, il suo precedente lavoro astenendosi dalle incombenze più gravose. Il grado di capacità al lavoro del 70%, posto dal Dott. Lehmann, può essere anche inteso come una presenza sul lavoro completa, ma con un rendimento ridotto (esenzione dagli obblighi più pesanti); oppure un orario ridotto di lavoro o un'altra modalità occupazionale. In queste circostanze, il ricorso deve essere respinto e l'impugnata decisione confermata.</w:t>
      </w:r>
    </w:p>
    <w:p>
      <w:r>
        <w:rPr>
          <w:b/>
        </w:rPr>
        <w:t>E. 10.1</w:t>
      </w:r>
    </w:p>
    <w:p>
      <w:r>
        <w:t>Le spese processuali, ammontanti a Fr. 300.-, sono poste a carico del ricorrente e vengono compensate con l'anticipo versato.</w:t>
      </w:r>
    </w:p>
    <w:p>
      <w:r>
        <w:rPr>
          <w:b/>
        </w:rPr>
        <w:t>E. 10.2</w:t>
      </w:r>
    </w:p>
    <w:p>
      <w:r>
        <w:t>Visto l'esito del ricorso non si assegnano indennità per le spese ripetibili.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