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C-727/2007 vom 21. November 2007</w:t>
      </w:r>
    </w:p>
    <w:p>
      <w:r>
        <w:t>Bundesverwaltungsgericht, 2007-11-21, DE</w:t>
      </w:r>
    </w:p>
    <w:p>
      <w:r>
        <w:rPr>
          <w:b/>
        </w:rPr>
        <w:t xml:space="preserve">Quelle: </w:t>
      </w:r>
      <w:r>
        <w:t>https://mcp.opencaselaw.ch/entscheid/bvger_C-727_2007</w:t>
      </w:r>
    </w:p>
    <w:p>
      <w:r>
        <w:t>FR: TAF C-727/2007 du 21 novembre 2007</w:t>
      </w:r>
    </w:p>
    <w:p>
      <w:r>
        <w:t>IT: TAF C-727/2007 del 21 novembre 2007</w:t>
      </w:r>
    </w:p>
    <w:p>
      <w:pPr>
        <w:pStyle w:val="Heading2"/>
      </w:pPr>
      <w:r>
        <w:t>Regeste</w:t>
      </w:r>
    </w:p>
    <w:p>
      <w:r>
        <w:t>Einreise</w:t>
      </w:r>
    </w:p>
    <w:p>
      <w:pPr>
        <w:pStyle w:val="Heading2"/>
      </w:pPr>
      <w:r>
        <w:t>Erwägungen</w:t>
      </w:r>
    </w:p>
    <w:p>
      <w:r>
        <w:rPr>
          <w:b/>
        </w:rPr>
        <w:t>E. 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einer Einreisebewilligung (Art. 20 Abs. 1 des Bundesgesetzes über Aufenthalt und Niederlassung der Ausländer [ANAG, SR 142.20]), welche vom Bundesverwaltungsgericht endgültig beurteilt werden (Art. 83 lit. c Ziff. 1 des Bundesgerichtsgesetzes vom 17. Juni 2005 [BGG, SR 173.110]).</w:t>
      </w:r>
    </w:p>
    <w:p>
      <w:r>
        <w:rPr>
          <w:b/>
        </w:rPr>
        <w:t>E. 2</w:t>
      </w:r>
    </w:p>
    <w:p>
      <w:r>
        <w:t>Die Beschwerdeführerin ist als Verwandte und Gastgeberin am Verfahren mitbeteiligt und daher gemäss Art. 20 Abs. 2 ANAG zur Anfechtung der Verfügung legitimiert. Auf die frist- und formgerecht eingereichte Beschwerde ist deshalb einzutreten (Art. 48 ff. VwVG).</w:t>
      </w:r>
    </w:p>
    <w:p>
      <w:r>
        <w:rPr>
          <w:b/>
        </w:rPr>
        <w:t>E. 3</w:t>
      </w:r>
    </w:p>
    <w:p>
      <w:r>
        <w:t>Im Verwaltungsbeschwerdeverfahren gilt der Grundsatz der Untersuchung des Sachverhalts von Amtes wegen. Das Gericht ist daher verpflichtet, auf den festgestellten Sachverhalt die richtigen Rechtsnormen anzuwenden (vgl. Ulrich Häfelin/Georg Müller/Felix Uhlmann, Allgemeines Verwaltungsrecht, 5. Auflage, Zürich 2006, Rz. 1632 f.). Es ist an die Begründung der Begehren nicht gebunden (Art. 62 Abs. 4 VwVG) und kann die Beschwerde auch aus anderen als den geltend gemachten Gründen gutheissen oder abweisen. Es kann somit die Verfügung im Ergebnis auch gleich belassen, ihr aber andere Motive zugrunde legen (sog. Motivsubstitution; vgl. Alfred Kölz/Isabelle Häner, Verwaltungsverfahren und Verwaltungspflege des Bundes, 2. Auflage, Zürich 1998, Rz. 677).</w:t>
      </w:r>
    </w:p>
    <w:p>
      <w:r>
        <w:rPr>
          <w:b/>
        </w:rPr>
        <w:t>E. 4.1</w:t>
      </w:r>
    </w:p>
    <w:p>
      <w:r>
        <w:t>Ausländer und Ausländerinnen sind zur Anwesenheit in der Schweiz berechtigt, wenn sie eine Aufenthalts- oder Niederlassungsbewilligung besitzen oder keiner solchen bedürfen (Art. 1a ANAG). Gewisse Gruppen von Ausländerinnen und Ausländern benötigen für die Einreise in die Schweiz ein Visum (vgl. Art. 3 ff. der Verordnung des Bundesrates vom 14. Januar 1998 über Einreise und Anmeldung von Ausländerinnen und Ausländern [VEA, SR 142.211]).</w:t>
      </w:r>
    </w:p>
    <w:p>
      <w:r>
        <w:rPr>
          <w:b/>
        </w:rPr>
        <w:t>E. 4.2</w:t>
      </w:r>
    </w:p>
    <w:p>
      <w:r>
        <w:t>Für die Erteilung von Einreisevisa ist das BFM zuständig (Art. 18 VEA), welches im Rahmen der gesetzlichen Vorschriften und der Verträge mit dem Ausland nach freiem Ermessen entscheidet (Art. 4 und Art. 16 Abs. 1 ANAG, Art. 9 VEA). Dies bedeutet, dass die schweizerische Rechtsordnung weder ein allgemeines Recht auf Einreise kennt, noch einen besonderen Anspruch auf Erteilung eines Visums gewährt (vgl. Peter Uebersax, Einreise und Anwesenheit, in: Peter Uebersax/Peter Münch/Thomas Geiser/Martin Arnold [Hrsg.], Ausländerrecht, Handbücher für die Anwaltspraxis Bd. VIII, Basel 2002, Rz. 5.28).</w:t>
      </w:r>
    </w:p>
    <w:p>
      <w:r>
        <w:rPr>
          <w:b/>
        </w:rPr>
        <w:t>E. 4.3</w:t>
      </w:r>
    </w:p>
    <w:p>
      <w:r>
        <w:t>Ein Einreisevisum wird verweigert, wenn die in Art. 1 VEA aufgeführten Voraussetzungen nicht erfüllt sind (vgl. Art. 14 Abs. 1 VEA). Insbesondere müssen Gesuchstellerinnen und Gesuchsteller, die in die Schweiz reisen möchten, Gewähr bieten, dass sie fristgerecht wieder ausreisen werden (Art. 1 Abs. 2 Bst. c VEA). Sie müssen aber auch über genügend Mittel verfügen oder sich solche verschaffen können, um ihren Lebensunterhalt während des Aufenthalts in der Schweiz zu bestreiten (Art. 1 Abs. 2 Bst. d VEA). Zum Lebensunterhalt zählt dabei nicht nur der Aufwand für Verpflegung und Unterkunft; vielmehr sind auch nur eventuell anfallende Krankheits-, Unfall- oder Rückschaffungskosten mit einzubeziehen. Aus diesem Grund verlangen die Kantone von den hier lebenden Gastgebern in der Regel finanzielle Garantien, die gemäss Art. 7 Abs. 3 VEA bis zu 20'000 Franken betragen. Letztlich ist das Visum gemäss Art. 14 Abs. 2 Bst. c in fine VEA zu verweigern, wenn begründete Zweifel am Aufenthaltszweck bestehen.</w:t>
      </w:r>
    </w:p>
    <w:p>
      <w:r>
        <w:rPr>
          <w:b/>
        </w:rPr>
        <w:t>E. 5</w:t>
      </w:r>
    </w:p>
    <w:p>
      <w:r>
        <w:t>Die Gesuchstellerin kann sich auf keine Ausnahmeregelung berufen und unterliegt aufgrund ihrer Nationalität den Visumsbestimmungen (vgl. Art. 1-5 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 Insbesondere ist zu überprüfen, ob die Vorinstanz unter Berücksichtigung der Verhältnisse im Herkunftsland der Gesuchstellerin und unter Berücksichtigung der persönlichen Lebensumstände einen ermessensfehlerfreien Entscheid getroffen hat.</w:t>
      </w:r>
    </w:p>
    <w:p>
      <w:r>
        <w:rPr>
          <w:b/>
        </w:rPr>
        <w:t>E. 5.1</w:t>
      </w:r>
    </w:p>
    <w:p>
      <w:r>
        <w:t>Obwohl sich die Menschenrechtslage in Vietnam seit den achtziger Jahren stark verbessert hat, bleibt sie in mancher Hinsicht unbefriedigend, da die in der Verfassung garantierten individuellen Rechte in der Praxis durch weit gefasste Vollmachten der Regierungsorgane erheblich eingeschränkt sind. Frauen treten im öffentlichen und wirtschaftlichen Leben mittlerweile verstärkt in Erscheinung; insgesamt sind sie im Berufsalltag aber noch unterrepräsentiert und deutlich schlechter bezahlt. Die Wirtschaft Vietnams befindet sich in einem Übergangsprozess von einer Plan- zu einer Marktwirtschaft mit "sozialistischer Orientierung", die bereits bemerkenswerte Erfolge erzielt hat. So wird Schätzungen zufolge das Wachstum des Bruttoinlandprodukts im Jahre 2006 bei 7,4 Prozent liegen, womit Vietnam - hinter China - die am schnellsten wachsende Volkswirtschaft in der Region ist und gegenüber dem Jahr 2005 um 25 Prozent gestiegene Exporte vorweisen kann. Dennoch macht der Doing Business 2007 Report der Weltbank deutlich, dass eine ausufernde Bürokratie sowie mangel-hafte rechtliche Rahmenbedingungen die Entwicklung des Landes stark behindern. Zur Finanzierung seines Leistungsbilanzdefizits erhielt Vietnam im Jahre 2006 rund 3,7 Mrd USD an Zuflüssen internationaler Entwicklungshilfe. Eine wichtige Rolle zur Deckung des Defizits spielen auch die Überweisungen der 2,7 Mio Auslandsvietnamesen in ihre Heimat, die rund 4 Mrd. USD betragen (Quelle: http://www.auswaertiges-amt.de, Stand: Januar 2007). Aufgrund der geschilderten Entwicklung wird deutlich, dass der bis anhin bestehende Migrationsdruck ungebrochen anhalten wird. Der Trend zur Auswanderung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5.2</w:t>
      </w:r>
    </w:p>
    <w:p>
      <w:r>
        <w:t>Bei der Risikoanalyse sind aber nicht nur solche allgemeinen Umstände und Erfahrungen, sondern auch sämtliche Gesichtspunkte des konkreten Einzelfalles zu berücksichtigen. Obliegt einem Gesuchsteller bzw. einer Gesuchstellerin im Heimatstaat beispielsweise eine besondere berufliche, gesellschaftliche oder familiäre Verantwortung, kann dieser Umstand durchaus die Prognose für eine anstandslose Wiederausreise begünstigen. Umgekehrt muss bei Gesuchstellern und Gesuchstellerinnen, die in ihrer Heimat keine der erwähnten Verpflichtungen haben, das Risiko, dass sie sich nach einer bewilligten Einreise nicht an die fremdenpolizeilichen Vorschriften halten, als hoch eingeschätzt werden.</w:t>
      </w:r>
    </w:p>
    <w:p>
      <w:r>
        <w:rPr>
          <w:b/>
        </w:rPr>
        <w:t>E. 5.3.1</w:t>
      </w:r>
    </w:p>
    <w:p>
      <w:r>
        <w:t>Bei der Gesuchstellerin handelt es sich um eine 49-jährige Witwe, die nach eigenen Angaben Hausfrau ist (siehe Einreisegesuch vom 2. Oktober 2006), nach Angaben ihrer Tochter jedoch ihren Lebensunterhalt aus dem Verkauf von Binsenmatten bestreitet (siehe Schreiben des Amts für Migration des Kantons Luzern vom 26. Oktober 2006 mit beigefügtem Fragebogen). Die Beschwerdeführerin hat zudem aus dem Vietnamesischen übersetzte Unterlagen eingereicht, aus denen die finanzielle Absicherung ihrer Mutter ersichtlich sein soll. Zum einen handelt sich dabei um eine Bescheinigung, die einen Hausbesitz von 20,2 qm und einen Bodenbesitz von 104,5 qm betätigt. Zum anderen handelt es sich um die Titelseite eines auf den Namen der Gesuchstellerin lautenden Sparbuchs sowie um die Kopie eines (namenlosen) Kontoauszugs über ein Vermögen von 25'700.00 USD. Die beiden zuletzt genannten Dokumente, die verschiedene Kontonummern tragen, passen offensichtlich jedoch nicht zueinander. Die finanzielle Situation der Gesuchstellerin ist damit höchst fragwürdig, und es ist auch angesichts der dargelegten Erwerbs- und Wohnsituation zu bezweifeln, ob sie - wie von der Beschwerdeführerin behauptet - in Vietnam tatsächlich ein wirtschaftlich sorgenfreies Leben führen kann.</w:t>
      </w:r>
    </w:p>
    <w:p>
      <w:r>
        <w:rPr>
          <w:b/>
        </w:rPr>
        <w:t>E. 5.3.2</w:t>
      </w:r>
    </w:p>
    <w:p>
      <w:r>
        <w:t>Zu berücksichtigen ist aber auch, dass die Beschwerdeführerin die in der Schweiz bestehenden verwandtschaftlichen Bindungen ihrer Mutter im Fragebogen des Migrationsamts nicht offengelegt hat, wohingegen sie in der Beschwerdeschrift, ohne konkrete Personen zu bezeichnen, behauptete, ihre Mutter verfüge in Vietnam über Freunde und Familie. Jedenfalls ergibt sich aus dem Akteninhalt, dass ausser der Beschwerdeführerin noch zwei weitere erwachsene Kinder der Gesuchstellerin sowie ihr Ex-Ehemann in der Schweiz leben; ihnen galt ihr Besuchsaufenthalts im Sommer 2001. Abgesehen von diesen nächsten Familienangehörigen lebt aber auch der Neffe der Gesuchstellerin, Z._______, in der Schweiz; ihn hatte sie in ihrem Visumsgesuch vom 12. Mai 2005 als Gastgeber bezeichnet.</w:t>
      </w:r>
    </w:p>
    <w:p>
      <w:r>
        <w:rPr>
          <w:b/>
        </w:rPr>
        <w:t>E. 5.3.3</w:t>
      </w:r>
    </w:p>
    <w:p>
      <w:r>
        <w:t>Der Umstand, dass die familiären Verhältnisse von X._______ im vorliegenden Verfahren nicht transparent gemacht wurden - was auch bei den beiden vorhergehenden Visaverfahren der Fall war (vgl. Entscheid des EJPD vom 24. Januar 2006, Rek. A8-0560733) - lässt ebenso wie die unklare finanzielle Situation Zweifel am Aufenthaltszweck der Gesuchstellerin entstehen (vgl. Art. 14 Abs. 2 Bst. c VEA). Dass sie noch im Jahr 2001 eine Aufenthaltsbewilligung anstrebte, verstärkt die Befürchtung, dass ihr der jetzt geplante Besuchsaufenthalt zur Emigration verhelfen soll.</w:t>
      </w:r>
    </w:p>
    <w:p>
      <w:r>
        <w:rPr>
          <w:b/>
        </w:rPr>
        <w:t>E. 5.4</w:t>
      </w:r>
    </w:p>
    <w:p>
      <w:r>
        <w:t>An dieser Risikoeinschätzung, die mit auf den Angaben der Beschwerdeführerin beruht, vermögen deren gegenteilige Zusicherungen nichts zu ändern. Gastgeber können zwar für gewisse finanzielle Risiken Garantie leisten, mangels rechtlicher und faktischer Durchsetzbarkeit nicht aber für ein bestimmtes Verhalten des Gastes (vgl. Verwaltungspraxis der Bundesbehörden [VPB] 57.24).</w:t>
      </w:r>
    </w:p>
    <w:p>
      <w:r>
        <w:rPr>
          <w:b/>
        </w:rPr>
        <w:t>E. 6</w:t>
      </w:r>
    </w:p>
    <w:p>
      <w:r>
        <w:t>Abgesehen vom Aspekt der nicht fristgerechten Wiederausreise besteht aber auch die Befürchtung, dass der Lebensunterhalts der Gesuchstellerin während ihres hiesigen Aufenthalts nicht sichergestellt sein könnte (vgl. Art. 1 Abs. 2 Bst. d VEA). Hierfür spricht, dass gegen die Beschwerdeführerin, auch wenn das kantonale Migrationsamt ihre finanzielle Lage als gesichert bezeichnet hat, Betreibungen über rund 60'000 Franken vorliegen. Letztlich kann diese Frage vor dem Hintergrund des aufgezeigten Emigrationsrisikos jedoch offen bleiben.</w:t>
      </w:r>
    </w:p>
    <w:p>
      <w:r>
        <w:rPr>
          <w:b/>
        </w:rPr>
        <w:t>E. 7</w:t>
      </w:r>
    </w:p>
    <w:p>
      <w:r>
        <w:t>Die Vorinstanz durfte unter den gegebenen Umständen zu Recht davon ausgehen, die fristgerechte Wiederausreise der Gesuchstellerin sei nicht gewährleistet (vgl. Art. 14 Abs. 1 i.V.m. Art. 1 Abs. 2 lit. c VEA). Zwar lässt sich diese Einschätzung nicht zu einer gesicherten Feststellung verdichten; sie reicht aber aus, um die Erteilung einer Einreisebewilligung - auf welche wie bereits erwähnt ohnehin kein Rechtsanspruch besteht - abzulehnen.</w:t>
      </w:r>
    </w:p>
    <w:p>
      <w:r>
        <w:rPr>
          <w:b/>
        </w:rPr>
        <w:t>E. 8</w:t>
      </w:r>
    </w:p>
    <w:p>
      <w:r>
        <w:t>Aus diesen Darlegungen folgt, dass die angefochtene Verfügung im Ergebnis rechtmässig ist (Art. 49 VwVG). Die Beschwerde ist demzufolge abzuweisen.</w:t>
      </w:r>
    </w:p>
    <w:p>
      <w:r>
        <w:rPr>
          <w:b/>
        </w:rPr>
        <w:t>E. 9</w:t>
      </w:r>
    </w:p>
    <w:p>
      <w:r>
        <w:t>Bei diesem Ausgang des Verfahrens sind die Kosten der Beschwerdeführerin aufzuerlegen (vgl. Art. 63 Abs. 1 VwVG i.V.m. Art. 1 und Art. 3 des Reglements über die Kosten und Entschädigungen vor dem Bundesverwaltungsgericht vom 11. Dezember 2006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