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C-7272/2014 vom 18. April 2016</w:t>
      </w:r>
    </w:p>
    <w:p>
      <w:r>
        <w:t>Bundesverwaltungsgericht, 2016-04-18, IT</w:t>
      </w:r>
    </w:p>
    <w:p>
      <w:r>
        <w:rPr>
          <w:b/>
        </w:rPr>
        <w:t xml:space="preserve">Quelle: </w:t>
      </w:r>
      <w:r>
        <w:t>https://mcp.opencaselaw.ch/entscheid/bvger_C-7272_2014</w:t>
      </w:r>
    </w:p>
    <w:p>
      <w:r>
        <w:t>FR: TAF C-7272/2014 du 18 avril 2016</w:t>
      </w:r>
    </w:p>
    <w:p>
      <w:r>
        <w:t>IT: TAF C-7272/2014 del 18 aprile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giudica quale autorità di grado inferiore al Tribunale federale (art. 1 cpv. 2 LTAF in relazione con l'art. 11 par. 1 e 3 ALC; cfr. sentenza del TF 2C_1092/2013 del 4 luglio 2014 consid. 1.1 con rinvii).</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67 cpv. 1 lett. a LStr (RS 142.20), fatto salvo il cpv. 5, la SEM vieta l'entrata in Svizzera ad uno straniero allontanato se, l'allontanamento è eseguito immediatamente in virtù dell'articolo 64d capoverso 2 lettere a-c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Nell'ottica del diritto interno, l'art. 96 cpv. 1 LStr prescrive che, nell'esercizio del loro potere discrezionale, le autorità competenti tengano conto degli interessi pubblici e della situazione personale nonché del grado d'integrazione dello straniero.</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LStr, FF 2002 3327, pag. 3424).</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marg. 3, pag. 195).</w:t>
      </w:r>
    </w:p>
    <w:p>
      <w:r>
        <w:rPr>
          <w:b/>
        </w:rPr>
        <w:t>E. 4.1</w:t>
      </w:r>
    </w:p>
    <w:p>
      <w:r>
        <w:t>Per coloro i quali vi si possono lecitamente richiamare e nella misura in cui contenga disposizioni derogatorie più favorevoli, determinante è inoltre l'ALC (RS 0.142.112.681).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l'art. 3 ALC); tale diritto può essere limitato solo da misure giustificate da motivi di ordine pubblico, pubblica sicurezza e pubblica sanità (art. 5 cpv. 1 allegato I ALC).</w:t>
      </w:r>
    </w:p>
    <w:p>
      <w:r>
        <w:rPr>
          <w:b/>
        </w:rPr>
        <w:t>E. 4.2</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dell'ordine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1999, n. 33-35, e del 19 gennaio 1999 nella causa C-348/96, Calfa, Racc. 1999, I-11, n. 23 e 25).</w:t>
      </w:r>
    </w:p>
    <w:p>
      <w:r>
        <w:rPr>
          <w:b/>
        </w:rPr>
        <w:t>E. 4.3</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4.4</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(DTF 136 II 5 consid. 4.2; 134 II 25 consid. 4.3.2 e 130 II 493 consid. 3.3 e riferimenti ivi citati).</w:t>
      </w:r>
    </w:p>
    <w:p>
      <w:r>
        <w:rPr>
          <w:b/>
        </w:rPr>
        <w:t>E. 4.5</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 Inoltre, come nel caso di qualsiasi altro cittadino straniero, l'esame dev'essere effettuato tenendo presente le garanzie derivanti dalla CEDU così come del principio della proporzionalità (DTF 131 II 352 consid. 3.3 e numerosi rinvii).</w:t>
      </w:r>
    </w:p>
    <w:p>
      <w:r>
        <w:rPr>
          <w:b/>
        </w:rPr>
        <w:t>E. 5</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5.1</w:t>
      </w:r>
    </w:p>
    <w:p>
      <w:r>
        <w:t>L'art. 67 cpv. 3 2a frase LStr permette alla SEM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5.2</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5.3</w:t>
      </w:r>
    </w:p>
    <w:p>
      <w:r>
        <w:t>A tal proposito la recente giurisprudenza ha stabilito che la nozione di «pericolo grave» richiede un grado di gravità maggiore al «semplice» pericolo o minaccia all'ordine e la sicurezza pubblici (art. 67 cpv. 2 lett.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196; Andrea Binder Oser, in: Caroni et al., Bundesgesetz über die Ausländerinnen und Ausländer, 2010, ad art. 67 LStr, n. marg. 24, pag. 689).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(DTF 139 II 121 consid. 6).</w:t>
      </w:r>
    </w:p>
    <w:p>
      <w:r>
        <w:rPr>
          <w:b/>
        </w:rPr>
        <w:t>E. 6.1</w:t>
      </w:r>
    </w:p>
    <w:p>
      <w:r>
        <w:t>Dalle tavole processuali risulta che l'interessato ha avuto dei problemi con la giustizia durante la sua lunga permanenza sul territorio della Confederazione. Egli è stato infatti condannato a diverse riprese, seppur per reati di lieve entità, dalle competenti autorità elvetiche tra il 1985 ed il 2003, in particolare: il 27 novembre 1985, l'Amtsstatthalteramt Sursee l'ha condannato al pagamento di una multa di Fr. 100.- per danni materiali; il 30 agosto 1994, il Richteramt di Thal-Gäu ha condannato l'interessato a 6 settimane di detenzione, sospese condizionalmente per un periodo di prova di 2 anni, per sottrazione di contributi AVS dei dipendenti e truffa; il 25 aprile 1996, una pena di 10 mesi di detenzione, sospesi condizionalmente per un periodo di prova di 2 anni, è stata pronunciata nei suoi confronti dal Kriminalgericht del Canton Lucerna, in quanto ritenuto colpevole di truffa per mestiere, ripetuta falsità in documenti, tentata falsificazione di documenti e sottrazioni di cose requisite o sequestrate. A seguito di tale condanna, in data 29 agosto 1996, l'autorità cantonale competente in materia di polizia degli stranieri del Canton Ticino ha ammonito formalmente l'interessato, rendendolo edotto che in caso di recidiva o di comportamento scorretto sarebbe stata emessa nei suoi confronti una misura amministrativa; il 27 ottobre 1999, la Sezione dei permessi e dell'immigrazione del Canton Ticino (SPI; attualmente Sezione della popolazione [SPOP]) ha pronunciato nei suoi confronti un secondo ammonimento per inottemperanza all'obbligo di versare gli alimenti per i figli nati dalla sua seconda relazione, informandolo che in caso di recidiva o di comportamento scorretto si sarebbe proceduto alla sua espulsione dal territorio svizzero o al rimpatrio; il 20 marzo 2000, il Ministero Pubblico del Canton Ticino l'ha condannato alla pena di 3 giorni di detenzione, sospesi condizionalmente per un periodo di prova di 2 anni, in quanto ritenuto colpevole di distrazione di valori patrimoniali sottoposti a procedimento giudiziale; il 1° gennaio 2003, l'Amtsstatthalteramt Sursee gli ha infine inflitto una multa di fr. 700.-, sospesa condizionalmente per un periodo di prova di 2 anni, per infrazione alle norme sulla circolazione stradale (eccesso di velocità).</w:t>
      </w:r>
    </w:p>
    <w:p>
      <w:r>
        <w:rPr>
          <w:b/>
        </w:rPr>
        <w:t>E. 6.2</w:t>
      </w:r>
    </w:p>
    <w:p>
      <w:r>
        <w:t>Va poi di transenna menzionata la decisione del 14 luglio 2000, con la quale la SPI ha pronunciato il rimpatrio di A._______, ritenendo come la sua condotta in generale ed i suoi atti permettessero di concludere che egli non vuole o non è capace di adattarsi all'ordinamento del Paese che lo ospita.</w:t>
      </w:r>
    </w:p>
    <w:p>
      <w:r>
        <w:rPr>
          <w:b/>
        </w:rPr>
        <w:t>E. 6.3</w:t>
      </w:r>
    </w:p>
    <w:p>
      <w:r>
        <w:t>L'interessato è stato quindi condannato il 17 giugno 2014 del Procuratore federale alla pena detentiva di 142 giorni per infrazione aggravata alla legge federale sul materiale bellico. Come evidenzia la SEM, da ulteriori accertamenti sarebbe difatti risultato che l'interessato sia stato più volte condannato in Patria a pene detentive importanti per reati commessi anche dopo la decisione di divieto di entrata che lo ha mantenuto lontano dalla Svizzera fino al 16 maggio 2010. L'interessato si è reso colpevole segnatamente di detenzione illegale di armi, detenzione abusiva di munizioni nonché detenzione illecita di sostanze stupefacenti continuato in concorso. L'ultima condanna subita dall'interessato, in Italia, gli ha valso più di tre anni di reclusione per reati commessi tra il settembre 2009 e il gennaio 2010.</w:t>
      </w:r>
    </w:p>
    <w:p>
      <w:r>
        <w:rPr>
          <w:b/>
        </w:rPr>
        <w:t>E. 6.4</w:t>
      </w:r>
    </w:p>
    <w:p>
      <w:r>
        <w:t>Gli atti illeciti riconosciuti dal ricorrente riguardano crimini particolarmente pericolosi per l'ordine pubblico (cfr. DTF 131 II 352 consid. 4.3.1; 125 II 521 consid. 4a/aa). Le persone coinvolte in questo tipo di traffici devono pertanto attendersi l'adozione di misure di allontanamento o di rifiuto di entrata dettate dalla legittima necessità di proteggere la collettività dai gravi pericoli legati alla circolazione di armi.</w:t>
      </w:r>
    </w:p>
    <w:p>
      <w:r>
        <w:rPr>
          <w:b/>
        </w:rPr>
        <w:t>E. 6.5</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 A mente del Tribunale gli argomenti avanzati nel ricorso non permettono di concludere che il rischio di recidiva possa essere senz'altro escluso. Egli adduce di aver già avuto un divieto di entrata dal maggio 2005 al maggio 2010, chiedendosi perché dovrebbe averlo una seconda volta, senza aver commesso altri reati in Svizzera. L'argomento è inconferente. Dalle tavole processuali risulta che durante il periodo di divieto pronunciato, egli ha commesso ancora atti delittuosi negli anni 2009 e 2010 peraltro di stessa natura di quelli che avevano portato alla precedente misura del 17 maggio 2005. Ciò testimonia dell'incapacità dell'interessato ad adattarsi all'ordine stabilito e porta a constatare le reali difficoltà a rispettare l'ordine pubblico, da cui anche l'impossibilità di fare un pronostico favorevole quanto al comportamento a venire. Occorre inoltre rammentare che le autorità elvetiche possono, sulla base dell'art. 67 cpv. 2 lett. a LStr, pronunciare un divieto d'entrata nei confronti dello straniero che, come nella fattispecie, con i suoi comportamenti ha violato o espone a pericolo l'ordine e la sicurezza pubblici all'estero; il Tribunale ha già avuto modo di confermare misure di allontanamento di questo tipo (cfr. a titolo di esempio la sentenza del TAF C-3974/2013 del 5 maggio 2014 consid. 5.6). Sulla base di queste circostanze, vista la gravità e la pericolosità delle infrazioni commesse nonché il loro reiterarsi anche posteriormente all'emanazione di una misura di divieto ed alla luce dei beni giuridici estremamente sensibili toccati, quali la sicurezza, il provvedimento avversato soddisfa le condizioni che permettono all'autorità di derogare al principio della libera circolazione sancito dall'ALC.</w:t>
      </w:r>
    </w:p>
    <w:p>
      <w:r>
        <w:rPr>
          <w:b/>
        </w:rPr>
        <w:t>E. 7</w:t>
      </w:r>
    </w:p>
    <w:p>
      <w:r>
        <w:t>Il divieto d'entrata in Svizzera è quindi confermato nel suo principio. Resta ora da stabilire se la durata della misura, fissata a cinque anni dall'autorità intimata, è adeguata alle circostanze del caso concreto.</w:t>
      </w:r>
    </w:p>
    <w:p>
      <w:r>
        <w:rPr>
          <w:b/>
        </w:rPr>
        <w:t>E. 7.1</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7.2</w:t>
      </w:r>
    </w:p>
    <w:p>
      <w:r>
        <w:t>Quo all'interesse pubblico all'allontanamento del ricorrente dal territorio elvetico, si è già detto ai considerandi precedenti.</w:t>
      </w:r>
    </w:p>
    <w:p>
      <w:r>
        <w:rPr>
          <w:b/>
        </w:rPr>
        <w:t>E. 7.3</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a fare visita a figli e nipoti. L'art. 8 CEDU tutela la vita privata e familiare delle persone. Questa disposizione non garantisce tuttavia il diritto ad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 La protezione del diritto al rispetto della vita privata e familiare conferita dalla norma convenzionale non ha però valenza assoluta, poiché ai sensi dell'art. 8 cpv. 2 CEDU, un'ingerenza delle autorità rimane possibile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 In casu, l'interessato si è prevalso del rapporto con figli e nipoti. Dagli atti risulta che già al momento del divieto di entrata del 2005 i figli fossero in età adulta. Il rapporto tra genitori e figli maggiorenni non è protetto dalla suddetta disposizione convenzionale e nemmeno è dato in casu a vedere che sussista un rapporto di dipendenza dell'interessato con i figli maggiorenni (DTF 129 II 11 consid. 2). Da quest'ottica la decisione impugnata non viola quindi l'art. 8 CEDU ed il ricorrente non può fondare alcun diritto sulla base di tale disposizione.</w:t>
      </w:r>
    </w:p>
    <w:p>
      <w:r>
        <w:rPr>
          <w:b/>
        </w:rPr>
        <w:t>E. 7.4</w:t>
      </w:r>
    </w:p>
    <w:p>
      <w:r>
        <w:t>Da un punto di vista della situazione personale anche i legami del ricorrente con la Svizzera devono essere relativizzati, non intravvedendovi alcun elemento che possa fare pensare ad un particolare legame o integrazione. Non solo. A seguito del comportamento riprovevole, nell'estate del 2000 è pure stato allontanato dalla Svizzera.</w:t>
      </w:r>
    </w:p>
    <w:p>
      <w:r>
        <w:rPr>
          <w:b/>
        </w:rPr>
        <w:t>E. 7.5</w:t>
      </w:r>
    </w:p>
    <w:p>
      <w:r>
        <w:t>Ciò posto, dalle considerazioni che precedono, ne deriva che l'interesse pubblico all'allontanamento di A._______ dalla Svizzera prevale su quello privato di quest'ultimo ad entrarvi. Di conseguenza, da una corretta valutazione degli interessi pubblici e privati in gioco, emerge che il divieto d'entrata di cinque anni è adeguato alle circostanze del caso concreto.</w:t>
      </w:r>
    </w:p>
    <w:p>
      <w:r>
        <w:rPr>
          <w:b/>
        </w:rPr>
        <w:t>E. 8</w:t>
      </w:r>
    </w:p>
    <w:p>
      <w:r>
        <w:t>Ne discende che la SEM con la decisione del 18 novembre 2014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giudiziarie di fr. 1'000.-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