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C-7267/2010 vom 2. April 2012</w:t>
      </w:r>
    </w:p>
    <w:p>
      <w:r>
        <w:t>Bundesverwaltungsgericht, 2012-04-02, DE</w:t>
      </w:r>
    </w:p>
    <w:p>
      <w:r>
        <w:rPr>
          <w:b/>
        </w:rPr>
        <w:t xml:space="preserve">Quelle: </w:t>
      </w:r>
      <w:r>
        <w:t>https://mcp.opencaselaw.ch/entscheid/bvger_C-7267_2010</w:t>
      </w:r>
    </w:p>
    <w:p>
      <w:r>
        <w:t>FR: TAF C-7267/2010 du 2 avril 2012</w:t>
      </w:r>
    </w:p>
    <w:p>
      <w:r>
        <w:t>IT: TAF C-7267/2010 del 2 aprile 2012</w:t>
      </w:r>
    </w:p>
    <w:p>
      <w:pPr>
        <w:pStyle w:val="Heading2"/>
      </w:pPr>
      <w:r>
        <w:t>Regeste</w:t>
      </w:r>
    </w:p>
    <w:p>
      <w:r>
        <w:t>Einreiseverbot</w:t>
      </w:r>
    </w:p>
    <w:p>
      <w:pPr>
        <w:pStyle w:val="Heading2"/>
      </w:pPr>
      <w:r>
        <w:t>Erwägungen</w:t>
      </w:r>
    </w:p>
    <w:p>
      <w:r>
        <w:rPr>
          <w:b/>
        </w:rPr>
        <w:t>E. 1</w:t>
      </w:r>
    </w:p>
    <w:p>
      <w:r>
        <w:t>1.1 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3.1 Der Beschwerdeführer führt zunächst aus, die Vorinstanz habe das Einreiseverbot erlassen, bevor der Entzug der Niederlassungsbewilligung und die Wegweisung aus der Schweiz rechtskräftig geworden seien.</w:t>
      </w:r>
    </w:p>
    <w:p>
      <w:r>
        <w:rPr>
          <w:b/>
        </w:rPr>
        <w:t>E. 3.2</w:t>
      </w:r>
    </w:p>
    <w:p>
      <w:r>
        <w:t>Den Akten ist folgender Sachverhalt zu entnehmen: Das Migrationsamt des Kantons Zürich entzog mit Verfügung vom 9. August 2010 einem allfälligen Rekurs gegen die Verfügung und dem Lauf der Rekursfrist die aufschiebende Wirkung. Dem Begehren des Beschwerdeführers um Wiederherstellung der aufschiebenden Wirkung des Rekurses vom 13. September 2010 kam die Rekursabteilung der Sicherheitsdirektion des Kantons Zürich nicht nach (vgl. Rekursentscheid vom 28. Dezember 2010 S. 5 Ziff. 1).</w:t>
      </w:r>
    </w:p>
    <w:p>
      <w:r>
        <w:rPr>
          <w:b/>
        </w:rPr>
        <w:t>E. 3.3</w:t>
      </w:r>
    </w:p>
    <w:p>
      <w:r>
        <w:t>Wird einer Verfügung die aufschiebende Wirkung entzogen, so wird sie vorläufig wirksam, obwohl sie noch nicht rechtskräftig ist (HANSJÖRG SEILER, in Waldmann/Weissenberger [Hrsg.], Praxiskommentar VwVG, Zürich 2009, Art. 55 N 106). Gemäss Art. 39 Bst. c VwVG kann eine solche zuungunsten des Adressaten lautende Verfügung vollstreckt werden. Dementsprechend wurde der Beschwerdeführer im Anschluss an den Widerruf seiner Niederlassungsbewilligung und die Wegweisung aus der Schweiz in sein Heimatland ausgeschafft. Die Vorinstanz war somit nicht gehalten, vor Erlass des Einreiseverbots die rechtskräftige Verfügung abzuwarten. 4.4.1 Weiter bringt der Beschwerdeführer vor, es sei ihm keine Möglichkeit eingeräumt worden, sich vorgängig zum Einreiseverbot zu äussern. Vor einer allfälligen materiellrechtlichen Beurteilung ist somit in formeller Hinsicht zu prüfen, ob die Vorinstanz mit dem Erlass der angefochtenen Verfügung nicht den Anspruch auf rechtliches Gehör verletzt hat. 4.2 Am 8. September 2010 verfügte die Vorinstanz gegenüber dem Beschwerdeführer ein Einreiseverbot. Zu einer allfälligen Fernhaltemassnahme wurde ihm in der Strafanstalt Pöschwies bereits zwei Mal, zuletzt am 18. August 2010, das rechtliche Gehör gewährt. Beim ersten Mal gab er am 6. Juli 2010 an, er würde einen solchen Entscheid akzeptieren. Am 18. August 2010 liess er sich dazu jedoch nicht mehr einlässlicher vernehmen. Demzufolge hatte der Beschwerdeführer zuletzt bereits drei Wochen vor Erlass des Einreiseverbots die Möglichkeit, sich zu einer allfälligen Fernhaltemassnahme zu äussern. Dem Anspruch auf rechtliches Gehör wurde somit genüge getan.</w:t>
      </w:r>
    </w:p>
    <w:p>
      <w:r>
        <w:rPr>
          <w:b/>
        </w:rPr>
        <w:t>E. 5.1</w:t>
      </w:r>
    </w:p>
    <w:p>
      <w:r>
        <w:t>Wird gegen eine Person, welche nicht Angehörige eines Staates ist, der durch eines der Schengen-Assoziierungsabkommen (vgl. Anhang 1 Ziffer 1 des Ausländergesetzes vom 16. Dezember 2005 [AuG, SR 142.20])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 6.6.1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der Dauer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den Beschwerdeführer im Ergebnis nichts ändert (Urteil des Bundesverwaltungsgerichts C-3304/2009 vom 18. Januar 2012 E. 5.1 mit Hinweis). 6.2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6.3 Bereits als Jugendlicher war der Beschwerdeführer regelmässig straffällig in Erscheinung getreten. So verübte er unter anderem bandenmässige Diebstähle, machte sich der Veruntreuung und der Hehlerei schuldig, beging Hausfriedensbrüche, Sachbeschädigungen und Körperverletzungen sowie diverse Strassenverkehrsdelikte und wurde in ein Erziehungsheim eingewiesen. Die Jugendanwaltschaft der Bezirke Dietikon und Affoltern wertete das Verschulden des Beschwerdeführers schon damals als schwer. In den Jahren 2007 und 2008 wurde er wegen diverser schwerwiegender Delikte (qualifizierter Raub, schwere Körperverletzung, versuchte räuberische Erpressung, diverse Strassenverkehrsdelikte, Hausfriedensbruch, Sachbeschädigung, Diebstahl) zu insgesamt viereinhalb Jahren Freiheitsstrafe verurteilt. Laut Urteil des Bezirksgerichts Zürich vom 20. September 2007 wiegt das Verschulden des Beschwerdeführers erheblich. Die Deliktssumme sei ansehlich und das Vorgehen des Angeklagten erscheine rücksichtslos, insbesondere missachte er fremdes Eigentum und die körperliche Integrität anderer Personen in krasser Weise. Sein Verhalten zeige seine Gleichgültigkeit für gesellschaftliche Normen, Fremdinteressen und Ansprüche anderer. Auch das Bezirksgericht Dietikon erachtet das Verschulden des Beschwerdeführers mit Urteil und Beschluss vom 4. November 2008 als erheblich. Sämtliche Taten würden offensichtlich die hohe Bereitschaft des Angeklagten zeigen, schwierigen oder für ihn bloss mühsamen Situationen sogleich mit Gewalt zu begegnen. 6.4 Demzufolge hat der Beschwerdeführer im mehrfacher Hinsicht gegen die öffentliche Sicherheit und Ordnung im Sinne von 67 Abs. 1 Bst. a AuG in der Fassung vom 1. Januar 2008 bzw. Art. 67 Abs. 2 Bst. a AuG in der Fassung vom 1. Januar 2011 verstossen. 6.5 Weiter musste der Beschwerdeführer in Ausschaffungshaft genommen und ausgeschafft werden (vgl. Sachverhalt Bst. H). Somit hat er - wie sich aus dem Sachverhalt zweifelsfrei ergibt - auch diesbezüglich Gründe für die Verhängung einer Fernhaltemassnahme gesetzt (vgl. 67 Abs. 1 Bst. d AuG in der Fassung vom 1. Januar 2008 bzw. Art. 67 Abs. 2 Bst. c AuG in der Fassung vom 1. Januar 2011). 7.Es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7.1 Das Fehlverhalten des Beschwerdeführers wiegt angesichts der Vielzahl und Schwere der Delikte objektiv nicht leicht. Der Missachtung von Strafnormen kommt im Interesse einer funktionierenden Rechtsordnung eine zentrale Bedeutung zu. Auch was die subjektive Seite anbelangt, ist das Verhalten des Beschwerdeführers negativ zu werten. So delinquierte er trotz laufendem Strafverfahren (vgl. Urteil und Beschluss des Bezirksgerichts Dietikon vom 4. November 2008, S. 8) und obwohl er sich in Probezeit befand. Der Beschwerdeführer hat sich demnach bewusst über die geltende Rechtsordnung hinweggesetzt. Somit ist dem öffentlichen Interesse an einer zeitlich befristeten Fernhaltung grosses Gewicht beizumessen. 7.2 Persönliche Interessen können in diesem Verfahren in der Beziehung des Beschwerdeführers zu seinen Eltern und Geschwistern, welche in der Schweiz über eine Niederlassungsbewilligung verfügen, erblickt werden. 7.3 Die Wirkung des Einreiseverbots besteht nicht darin, dass dem Beschwerdeführer während dessen Geltungsdauer Besuchsaufenthalte bei ihm nahe stehenden Personen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C-3304/2009 vom 18. Januar 2012 E. 7.2 in fine mit Hinweis). Dem Beschwerdefrüher stehen zudem diverse Mittel der Kommunikation offen, um mit seiner Familie in Kontakt zu treten (Briefverkehr, Videotelefonie, Telefonate oder durch Reisen seiner Angehörigen in den Aufenthaltsstaat des Beschwerdeführers). 7.4 Eine wertende Gewichtung der sich entgegenstehenden Interessen führt das Bundesverwaltungsgericht zum Schluss, dass das auf sechs Jahre befristete Einreiseverbot auch im gegenwärtigen Zeitpunkt unter Berücksichtigung der gängigen Praxis in vergleichbaren Fällen eine verhältnismässige und angemessene Massnahme zum Schutz der öffentlichen Ordnung darstellt. Angesichts der kriminellen Energie, welche der Beschwerdeführer entwickelte sowie der Schwere seiner Straftaten sind die Voraussetzungen von Art. 67 Abs. 3 Satz 2 (längere Dauer der Fernhaltungsmassnahme) zweifelsohne erfüllt.</w:t>
      </w:r>
    </w:p>
    <w:p>
      <w:r>
        <w:rPr>
          <w:b/>
        </w:rPr>
        <w:t>E. 8</w:t>
      </w:r>
    </w:p>
    <w:p>
      <w:r>
        <w:t>Aus diesen Erwägungen ergibt sich, dass die angefochtene Verfügung im Lichte von Art. 49 VwVG nicht zu beanstanden ist. Die Beschwerde ist demzufolge abzuweisen. 9.Entsprechend dem Ausgang des Verfahrens wird der unterliegende Beschwerdeführer kostenpflichtig (vgl. Art. 63 Abs. 1 VwVG, Art. 1, 2 und 3 Bst. b des Reglements über die Kosten und Entschädigungen vor dem Bundesverwaltungsgericht vom 21. Februar 2008 [VGKE, SR 173.320.2]).</w:t>
      </w:r>
    </w:p>
    <w:p>
      <w:r>
        <w:rPr>
          <w:b/>
        </w:rPr>
        <w:t>E. 10</w:t>
      </w:r>
    </w:p>
    <w:p>
      <w:r>
        <w:t>Das vorliegende Urteil ist endgültig (Art. 83 Bst. c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