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C-7267/2007 vom 8. Januar 2009</w:t>
      </w:r>
    </w:p>
    <w:p>
      <w:r>
        <w:t>Bundesverwaltungsgericht, 2009-01-08, DE</w:t>
      </w:r>
    </w:p>
    <w:p>
      <w:r>
        <w:rPr>
          <w:b/>
        </w:rPr>
        <w:t xml:space="preserve">Quelle: </w:t>
      </w:r>
      <w:r>
        <w:t>https://mcp.opencaselaw.ch/entscheid/bvger_C-7267_2007</w:t>
      </w:r>
    </w:p>
    <w:p>
      <w:r>
        <w:t>FR: TAF C-7267/2007 du 8 janvier 2009</w:t>
      </w:r>
    </w:p>
    <w:p>
      <w:r>
        <w:t>IT: TAF C-7267/2007 del 8 gennaio 2009</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28. September 2007, welcher gemäss Art. 60 Abs. 2bis BVG eine Verfügung im Sinne von Art. 5 Abs. 1 Bst. a des Bundesgesetzes vom 20. Dezember 1968 über das Verwaltungsverfahren (VwVG; SR 172.021) darstellt. Beschwerden gegen Verfügungen der Auffangeinrichtung beurteilt das Bundesverwaltungsgericht gestützt auf Art. 31 und 33 Bst. h VGG, sofern, wie vorliegend, keine Ausnahme nach Art. 32 VGG vorliegt.</w:t>
      </w:r>
    </w:p>
    <w:p>
      <w:r>
        <w:rPr>
          <w:b/>
        </w:rPr>
        <w:t>E. 1.2</w:t>
      </w:r>
    </w:p>
    <w:p>
      <w:r>
        <w:t>Der Beschwerdeführer hat gegen die Verfügung vom 28. September 2007 form- und fristgerecht Beschwerde erhoben (Art. 50 und 52 VwVG). Er hat am vorinstanzlichen Verfahren teilgenommen, ist durch die angefochtene Verfügung in seinen rechtlichen und tatsächlichen Verhältnissen besonders berührt und hat demnach ein schutzwürdiges Interesse an deren Änderung oder Aufhebung (Art. 48 Abs. 1 VwVG). Daher ist er zur Beschwerde legitimiert. Nachdem der Beschwerdeführer auch den geforderten Kostenvorschuss einbezahlt hat, ist auf seine Beschwerde einzutreten.</w:t>
      </w:r>
    </w:p>
    <w:p>
      <w:r>
        <w:rPr>
          <w:b/>
        </w:rPr>
        <w:t>E. 2.1</w:t>
      </w:r>
    </w:p>
    <w:p>
      <w:r>
        <w:t>Obligatorisch zu versichern ist jeder Arbeitnehmer, der das 17. Altersjahr vollendet hat und bei einem Arbeitgeber mehr als den gesetzlichen Jahres-Mindestlohn gemäss Art. 2 Abs. 1 des Bundesgesetzes vom 25. Juni 1982 über die berufliche Alters-, Hinterlassenen- und Invalidenvorsorge (BVG, SR 831.40)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3</w:t>
      </w:r>
    </w:p>
    <w:p>
      <w:r>
        <w:t>Dem Rektifikat der Lohnbescheinigung der AHV-Ausgleichskasse des Kantons Bern vom 25. Oktober 2007 (act. 8/1) lässt sich entnehmen, dass der Beschwerdeführer der einzigen von ihm beschäftigten Arbeitnehmerin J._______ im Jahr 2005 einen Bruttolohn von Fr. 19'300.- ausgerichtet hat. Dieser Lohn liegt tiefer als der gesetzliche Mindestlohn von Fr. 19'350.- gemäss Art. 5 der Verordnung vom 18. April 1984 über die berufliche Alters-, Hinterlassenen- und Invalidenvorsorge (BVV 2, SR 831.441, in der damals geltenden Fassung gemäss Ziff. I der Verordnung vom 27. Oktober 2004, in Kraft seit 1. Januar 2005, AS 2004 4643). Somit hatte der Beschwerdeführer keine BVG-versicherungspflichtigen Arbeitnehmer beschäftigt, weshalb auch keine Anschlusspflicht an eine registrierte Vorsorgeeinrichtung bestand. Dies ist unter den Parteien denn auch nicht mehr strittig. Insbesondere anerkennt die Vorinstanz nunmehr, dass die Voraussetzungen für einen Zwangsanschluss nicht gegeben sind.</w:t>
      </w:r>
    </w:p>
    <w:p>
      <w:r>
        <w:rPr>
          <w:b/>
        </w:rPr>
        <w:t>E. 4</w:t>
      </w:r>
    </w:p>
    <w:p>
      <w:r>
        <w:t>Zu prüfen bleibt vorliegend die Frage, ob die Vorinstanz dem Beschwerdeführer die Kosten für den Zwangsanschluss gemäss Dispositivziffer 4 der angefochtenen Verfügung auch dann in Rechnung stellen kann, wenn der Zwangsanschluss aufgrund nachträglich eingereichter Unterlagen nicht vollzogen wird.</w:t>
      </w:r>
    </w:p>
    <w:p>
      <w:r>
        <w:rPr>
          <w:b/>
        </w:rPr>
        <w:t>E. 4.1</w:t>
      </w:r>
    </w:p>
    <w:p>
      <w:r>
        <w:t>Der Beschwerdeführer macht sinngemäss geltend, die Angaben in der Lohnbescheinigung 2005 der AHV-Ausgleichskasse des Kantons Bern vom 14. Februar 2006 (act. 1/1), wonach er der einzigen von ihm beschäftigten Arbeitnehmerin einen Jahreslohn von Fr. 20'400.- ausgerichtet habe, würde nicht zutreffen, habe diese in Wirklichkeit doch einen um Fr. 1'100.- tieferen Lohn bezogen. Der Beschwerdeführer habe die Korrektur im Rahmen des Verfahrens zur Kontrolle des Anschlusses an eine registrierte Vorsorgeeinrichtung sowohl der AHV-Ausgleichskasse bzw. ihrer Zweigstelle Wilderswil wie später auch der Vorinstanz mitgeteilt, wodurch er seine Kontrollpflichten erfüllt habe. Diesbezüglich verweist er auf verschiedene Korrespondenzen, die er ins Recht legt. Daraus ist ersichtlich, dass der Beschwerdeführer mit Schreiben vom 8. August 2006 (act. 1/5) der AHV-Zeigstelle Wilderswil mitteilte, die Arbeitnehmerin J._______ habe im Jahr 2005 irrtümlicherweise einen knapp BVG-pflichtigen Lohn bezogen. Dieser könne nachträglich reduziert werden. Nähere Angaben über den korrekten Lohnbezug machte er dabei allerdings nicht. Mit Schreiben vom 10. Juli 2007 (act. 1/7) teilte er der Auffangeinrichtung BVG diese Lohnkorrektur mit, wobei er die Angaben diesmal genau bezifferte, indem er ausführte, diese habe im Jahr 2005 gegenüber dem Vorjahr Fr. 1'050.- zuviel Lohn bezogen, sodass ihr richtiger Lohn nicht BVG-pflichtig gewesen sei und sich ein Anschluss an eine registrierte Vorsorgeeinrichtung erübrige. Demgegenüber wendet die Vorinstanz ein (vgl. act. 6), der Beschwerdeführer habe ihr zugesichert, eine korrigierte AHV-Lohnbescheinigung 2005 vorzulegen, wofür sie ihm die Frist verlängert habe. Eine solche habe er aber nicht eingebracht. Den Akten lässt sich weiter entnehmen, dass das Rektifikat dieser AHV-Lohnbescheinigung für das Jahr 2005 erst am 25. Oktober 2007 erstellt wurde (act. 8/1), mithin nach dem Aufforderungsschreiben der Vorinstanz vom 10. Juni 2007 (act. 1/6) und nach dem Erlass der angefochtenen Verfügung vom 28. September 2007. Der Beschwerdeführer macht nicht geltend, dass er dieses Rektifikat der Vorinstanz zeitlich vorher zugestellt habe, nennt aber auch keinen Grund für seine verspätete Einreichung. Nichts spricht dagegen, dass er sein Versäumnis ohne Weiteres im Rahmen des Verfahrens betreffend die Anschlusskontrolle hätte nachholen können. Dessen Folgen hat der Beschwerdeführer nun zu vertreten.</w:t>
      </w:r>
    </w:p>
    <w:p>
      <w:r>
        <w:rPr>
          <w:b/>
        </w:rPr>
        <w:t>E. 4.2</w:t>
      </w:r>
    </w:p>
    <w:p>
      <w:r>
        <w:t>Unter diesen Umständen hätte somit der Beschwerdeführer bei pflichtgemässem Handeln den verfügten Zwangsanschluss und die der Vorinstanz dadurch entstandenen Kosten vermeiden können. Deshalb ist dem Antrag der Vorinstanz zu entsprechen, ihre Kostenerkenntnis gemäss Dispositivziffer 4 zu bestätigen.</w:t>
      </w:r>
    </w:p>
    <w:p>
      <w:r>
        <w:rPr>
          <w:b/>
        </w:rPr>
        <w:t>E. 4.3</w:t>
      </w:r>
    </w:p>
    <w:p>
      <w:r>
        <w:t>Zusammenfassend ist die Beschwerde insofern teilweise gutzuheissen, als der Beschwerdeführer die Aufhebung des Zwangsanschlusses und die Nichtmeldung von Arbeitnehmer/innen (Dispositivziffern 1 und 3 der angefochtenen Verfügung) beantragt. Im Kostenpunkt (Dispositivziffer 4) wird die angefochtene Verfügung bestätigt und die Beschwerde abgewiesen.</w:t>
      </w:r>
    </w:p>
    <w:p>
      <w:r>
        <w:rPr>
          <w:b/>
        </w:rPr>
        <w:t>E. 5.1</w:t>
      </w:r>
    </w:p>
    <w:p>
      <w:r>
        <w:t>Bei diesem Ausgang des Verfahrens, das einem teilweisen Unterliegen entspricht, wären dem Beschwerdeführer grundsätzlich reduzierte Verfahrenskosten aufzuerlegen (Art. 63 Abs. 1 zweiter Satz VwVG). Für eine Reduktion der Verfahrenskosten besteht freilich kein Anlass, denn der Beschwerdeführer hat den Grund sowohl für das vorinstanzliche Verfahren als auch für das Beschwerdeverfahren gesetzt, indem er erst im Rahmen des Beschwerdeverfahrens die korrigierte AHV-Lohnbescheinigung 2005 vorgelegt hat (vgl. E. 4.1). Damit hat er das Beschwerdeverfahren durch Verletzung seiner verfahrensrechtlichen Obliegenheiten zu verantworten (Art. 63 Abs. 3 VwVG). Die Verfahrenskosten sind somit in Anwendung von Art. 63 Abs. 1 VwVG sowie Art. 3 des Reglements vom 21. Februar 2008 über die Kosten und Entschädigungen vor dem Bundesverwaltungsgericht (VGKE, SR 173.320.2) auf Fr. 800.- festzusetzen und der Beschwerdeführerin aufzuerlegen. Diese werden mit dem von ihr geleisteten Kostenvorschuss von Fr. 800.- verrechnet.</w:t>
      </w:r>
    </w:p>
    <w:p>
      <w:r>
        <w:rPr>
          <w:b/>
        </w:rPr>
        <w:t>E. 5.2</w:t>
      </w:r>
    </w:p>
    <w:p>
      <w:r>
        <w:t>Da dem teilweise obsiegenden Beschwerdeführer keine notwendigen und verhältnismässig hohe Kosten erwachsen sind, ist ihm keine Parteientschädigung zuzusprechen (Art. 64 Abs. 1 VwVG e contrario).</w:t>
      </w:r>
    </w:p>
    <w:p>
      <w:r>
        <w:rPr>
          <w:b/>
        </w:rPr>
        <w:t>E. 5.3</w:t>
      </w:r>
    </w:p>
    <w:p>
      <w:r>
        <w:t>Der teilweise obsiegenden Vorinstanz,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