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C-7265/2008 vom 24. Januar 2012</w:t>
      </w:r>
    </w:p>
    <w:p>
      <w:r>
        <w:t>Bundesverwaltungsgericht, 2012-01-24, DE</w:t>
      </w:r>
    </w:p>
    <w:p>
      <w:r>
        <w:rPr>
          <w:b/>
        </w:rPr>
        <w:t xml:space="preserve">Quelle: </w:t>
      </w:r>
      <w:r>
        <w:t>https://mcp.opencaselaw.ch/entscheid/bvger_C-7265_2008</w:t>
      </w:r>
    </w:p>
    <w:p>
      <w:r>
        <w:t>FR: TAF C-7265/2008 du 24 janvier 2012</w:t>
      </w:r>
    </w:p>
    <w:p>
      <w:r>
        <w:t>IT: TAF C-7265/2008 del 24 gennaio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die von einer der in Art. 33 VGG aufgeführten Behörde erlassen wurden. Dar­unter fallen Verfügungen des BFM betr. Zustimmung zur Verlängerung einer Aufenthaltsbewilligung und Wegweisung.</w:t>
      </w:r>
    </w:p>
    <w:p>
      <w:r>
        <w:rPr>
          <w:b/>
        </w:rPr>
        <w:t>E. 1.2</w:t>
      </w:r>
    </w:p>
    <w:p>
      <w:r>
        <w:t>Als materielle Verfügungsadressatin ist die Beschwerdeführerin durch die an­gefochtene Verfügung besonders berührt und sie hat ein schutz­würdiges Interesse an deren Aufhebung (vgl. Art. 48 VwVG). Auf die frist- und formgerecht eingereichte Beschwerde ist daher einzu­treten (vgl. Art. 50 und Art. 52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2.2</w:t>
      </w:r>
    </w:p>
    <w:p>
      <w:r>
        <w:t>Am 1. Januar 2008 traten das Bundesgesetz vom 16. Dezember 2005 über die Ausländerinnen und Ausländer (Ausländergesetz, AuG, SR 142.20) und seine Ausführungsverordnungen in Kraft - unter anderem die Verordnung vom 24. Oktober 2007 über Zulassung, Aufenthalt und Erwerbstätigkeit (VZAE, SR 142.201). Entsprechend der in Art. 126 AuG niedergelegten intertemporalen Ordnung ist das neue Verfahrensrecht auf alle Verfahren anwendbar (Abs. 2), das neue materielle Recht hingegen nur auf solche, die zum Zeitpunkt des Inkrafttretens nicht bereits rechtshängig waren (Abs. 1; vgl. dazu BVGE 2008/1 E. 2 mit Hinweisen). Dem vorliegenden Verfahren liegt die Eingabe der Beschwerdeführerin vom 13. April 2008 zu Grunde, mit der sie um Verlängerung ihrer kurz vor dem Ablauf stehenden Aufenthaltsbewilligung ersuchte. Die Streitsache un­tersteht deshalb in formeller und materieller Hinsicht dem neuen Recht.</w:t>
      </w:r>
    </w:p>
    <w:p>
      <w:r>
        <w:rPr>
          <w:b/>
        </w:rPr>
        <w:t>E. 3.1</w:t>
      </w:r>
    </w:p>
    <w:p>
      <w:r>
        <w:t>Gemäss Art. 40 AuG sind die Kantone zuständig für die Erteilung und Verlängerung von Bewilligungen. Vorbehalten bleibt die Zuständigkeit des Bundes im Zustimmungsverfahren, zu dessen Ausgestaltung der Bundes­rat in Art. 99 AuG ermächtigt wird.</w:t>
      </w:r>
    </w:p>
    <w:p>
      <w:r>
        <w:rPr>
          <w:b/>
        </w:rPr>
        <w:t>E. 3.2</w:t>
      </w:r>
    </w:p>
    <w:p>
      <w:r>
        <w:t>Die Notwendigkeit der Zustimmung durch das BFM ergibt sich im Falle der Beschwerdeführerin aus Art. 85 Abs. 1 Bst. a VZAE in Verbin­dung mit Ziffer 1.3.1.4 Bst. e der Weisungen des BFM im Ausländerbe­reich in der Fassung vom 30. September 2011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 Nichts anderes galt im Übrigen bereits unter der Herrschaft des alten Rechts (vgl. statt vieler Urteil des Bundesverwaltungsge­richts C-195/2008 vom 25. Mai 2011 E. 4.1).</w:t>
      </w:r>
    </w:p>
    <w:p>
      <w:r>
        <w:rPr>
          <w:b/>
        </w:rPr>
        <w:t>E. 3.3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4.1</w:t>
      </w:r>
    </w:p>
    <w:p>
      <w:r>
        <w:t>Gemäss Art. 43 Abs. 1 AuG haben ausländische Ehegatten von Personen mit Niederlassungsbewilligung Anspruch auf Erteilung und Verlängerung der Aufenthaltsbewilligung, wenn sie mit diesen zusammenwohnen. Nach einem ordnungsgemässen und ununterbrochenen Aufenthalt von fünf Jahren haben die Ehegatten Anspruch auf Erteilung der Niederlassungsbewilligung (Art. 43 Abs. 2 AuG). Der Fortbestand der Bewilligung hängt hernach nicht mehr vom Zusammenleben der Eheleute ab (vgl. Art. 34 Abs. 1 AuG). Das Erfordernis des Zusammenlebens besteht nicht, wenn für getrennte Wohnorte wichtige Gründe geltend gemacht werden und die familiäre Gemeinschaft weiter besteht (Art. 49 AuG). Gemäss Art. 50 Abs. 1 AuG besteht nach Auflösung der Ehe oder der Familiengemeinschaft der Anspruch des Ehegatten auf Erteilung und Verlängerung der Aufenthaltsbewilligung weiter, wenn die Ehegemeinschaft mindestens drei Jahre bestanden hat und eine erfolgreiche Integration gegeben ist (Bst. a), oder wichtige persönliche Gründe einen weiteren Aufenthalt in der Schweiz erforderlich machen (Bst. b). Die Ansprüche aus Art. 43 und 50 AuG erlöschen, wenn sie rechtsmissbräuchlich geltend gemacht werden, namentlich um Vorschriften dieses Gesetzes und seiner Ausführungsbestimmungen über die Zulassung und den Aufenthalt zu umgehen (Art. 51 Bs. 2 Bst. a AuG).</w:t>
      </w:r>
    </w:p>
    <w:p>
      <w:r>
        <w:rPr>
          <w:b/>
        </w:rPr>
        <w:t>E. 4.2</w:t>
      </w:r>
    </w:p>
    <w:p>
      <w:r>
        <w:t>Es ist soweit unbestritten, dass sich ein Anspruch der Beschwer­deführerin auf Verlängerung ihrer Aufenthaltsbewilligung ausschliess­lich aus Art. 50 Abs. 1 Bst. a AuG ergeben kann und dass die Ehegat­ten länger als drei Jahre in häuslicher Gemeinschaft gelebt haben. Die Vorinstanz vertritt nun jedoch den Standpunkt, dass die Ehegemein­schaft im Sinne von Art. 50 Abs. 1 Bst. a AuG eine bestimmte Qualität der Beziehung voraussetze, welche die Beschwerdeführerin wegen ihrer Prostitution nicht erfülle. Die Vorinstanz beruft sich dabei zum Ei­nen auf den gesetzgeberischen Willen, der in der Ausgestaltung von Art. 159 des Schweizerischen Zivilgesetzbuchs vom 10. Dezember 1907 (ZGB, SR 210) zum Aus­druck komme, und zum Andern auf eine Rechtsprechung des Eidg. Justiz- und Polizeidepartements (EJPD) im Zusammenhang mit der Erteilung bzw. Nichtigerklärung der erleichter­ten Einbürgerung. Gemäss Art. 159 Abs. 3 ZGB schuldeten sich die Ehegatten gegenseitig Treue und Beistand. Eheliche Treue bedinge aber eine ungeteilte Geschlechtsgemeinschaft, welche nicht möglich sei, wenn ein Ehegatte der Prostitution nachgehe. Gemäss einer Recht­sprechung des EJPD in Fällen erleichterter Einbürgerung rechtfertige die systematische oder gewerbsmässige Prostitution eines Ehegatten sogar die Regelvermutung, dass mit der Eingehung der Ehe primär andere Zwecke verfolgt worden seien, als eine tatsächlich ge­lebte und auf die Zukunft gerichtete eheliche Schicksalsgemein­schaft zu begrün­den.</w:t>
      </w:r>
    </w:p>
    <w:p>
      <w:r>
        <w:rPr>
          <w:b/>
        </w:rPr>
        <w:t>E. 4.3</w:t>
      </w:r>
    </w:p>
    <w:p>
      <w:r>
        <w:t>Die Vorinstanz übersieht bei ihrer Argumentation, dass in den beiden zum Vergleich herangezogenen Rechtsbereichen unterschiedliche Ausgangslagen bestehen. Art. 27 des Bürgerrechtsgesetzes vom 29. Sep­tem­ber 1952 (BüG, SR 141.0) stellt insofern besondere Anforderungen an die Qualität einer ehelichen Gemeinschaft, als die Rechtswohltat der erleichterten Einbürgerung auf die Zukunft ausgerichtet ist und die Einheit des Bürgerrechts der Ehegatten im Hinblick auf eine gemeinsame Zukunft fördern soll (vgl. BGE 128 II 97 E. 3.a S. 99 mit Hinweisen). Entsprechend wird vorausgesetzt, dass die eheliche Gemeinschaft während der ganzen Dauer des Einbürgerungsverfahrens gelebt wird und intakt ist. Die gewerbsmässige Ausübung der Prostitution begründet dabei die widerlegbare Vermutung, dass eine solche intakte und auf die Zukunft ausgerichtete Ehe nicht besteht (anstelle mehrerer vgl. Urteil des Bundesverwaltungsgerichts C-1171/2006 vom 3. März 2009 E. 3 bis 6). Die Regelung des Art. 50 AuG kommt dagegen nach Auflösung der Ehe oder der Familiengemeinschaft zum Tragen, d.h. sie setzt das faktische Ende der Beziehung notwendigerweise voraus. Schon aus diesem Grund rechtfertigt es sich nicht, den Begriff der "Ehegemeinschaft" gemäss Art. 50 Abs. 1 Bst. a AuG im Sinne der Rechtsprechung zur erleichterten Einbürgerung auszulegen.</w:t>
      </w:r>
    </w:p>
    <w:p>
      <w:r>
        <w:rPr>
          <w:b/>
        </w:rPr>
        <w:t>E. 4.4</w:t>
      </w:r>
    </w:p>
    <w:p>
      <w:r>
        <w:t>Im Kontext des Ausländerrechts ist die Bedeutung qualitativer ehelicher Elemente dem Ausländergesetz selbst zu entnehmen: Art. 50 AuG regelt die Voraussetzungen, unter denen nach Auflösung der Ehe oder der Familiengemeinschaft Rechtsansprüche aus Art. 42 und 43 AuG fortbestehen. Das ist unter anderem der Fall, wenn die Ehegemeinschaft mindestens drei Jahre gedauert hat und eine erfolgreiche Integration vorliegt (Art. 50 Abs. 1 Bst. a AuG). Der Begriff der "Ehegemeinschaft" ist dabei im Einklang mit Art. 42 und 43 AuG auszulegen. Es trifft somit zwar zu, dass das Ausländergesetz eine tatsächlich gelebte eheliche Bezie­hung und einen entsprechenden Ehewillen voraussetzt (Urteil des Bundesgerichts 2C_803/2010 vom 14. Juni 2011 E. 2.2.1). Solange jedoch die Ehegatten zusammen leben, ist von einer solchen Ehegemeinschaft auszugehen, ohne dass die Qualität der ehelichen Beziehung zu prüfen wäre (Art. 42 Abs. 1 und Art. 43 Abs. 1 AuG). Anders verhält es sich im Anwendungsbereich des Art. 49 AuG, wo ein Zusam­menleben als äusseres Kennzeichen einer Ehegemeinschaft gerade fehlt. Hier hat die Behörde nebst dem Vorliegen wichtiger Gründe auch zu un­ter­suchen, ob ein Familienleben trotz Trennung weiter besteht und in diesem Rahmen auch qualitative Aspekte der Ehe einzubeziehen. Im Übri­gen kann die Qualität der Ehe nur im engen Rahmen des Rechtsmissbrauchsverbots Bedeutung erlangen, das der Ausübung der Ansprüche aus Art. 42 ff. AuG allgemeine Grenzen setzt.</w:t>
      </w:r>
    </w:p>
    <w:p>
      <w:r>
        <w:rPr>
          <w:b/>
        </w:rPr>
        <w:t>E. 4.5</w:t>
      </w:r>
    </w:p>
    <w:p>
      <w:r>
        <w:t>Gemäss Art. 51 Abs. 1 Bst. a und Abs. 2 Bst. a AuG erlöschen Ansprüche aus Art. 42 ff. AuG, wenn sie rechtsmissbräuchlich geltend gemacht werden, namentlich um Vorschriften des Ausländergesetzes und seiner Ausführungsbestimmungen zu umgehen. Dazu hat das Bundesgericht in einem neuesten Urteil erwogen, dass das Rechtsmissbrauchsverbot unter der Herrschaft des AuG stärker auf seinen Kernbereich zu beschränken sei, d.h. auf eigentliche Machenschaften, um die Behörden zu täuschen bzw. eine Bewilligung zu erschleichen (BGE 137 I 247 E. 5.1.1. S. 252). Zu solchen Machenschaften gehört eine eheliche Haushaltgemeinschaft, die nur dem äusseren Schein nach besteht (BGE 136 II 113 E. 3.2 S. 116), sei es weil die Ehe von Anfang an ausschliesslich ausländerrechtlich motiviert war (Scheinehe, vgl. BGE 137 I 247 E. 5.1.2. S. 252 f.), sei es weil die Ehe mit der Zeit zu einer inhaltsleeren Rechtshülle zerfiel, die ohne Aussicht auf Besserung aufrecht erhalten wird, um eine daran anknüpfende ausländerrechtliche Vorzugsbehandlung nicht zu ver­lieren. Indessen darf Rechtsmissbrauch nicht leichthin angenommen wer­den. Verlangt werden klare und eindeutige Indizien. Die Tatsache, dass einer der Ehegatten der Prostitution nachgeht, genügt in diesem Zu­sammenhang nicht. Es müssen andere Indizien hinzutreten, die in ihrer Gesamtheit den klaren Schluss zulassen, dass eine eheliche Lebens­gemeinschaft in Wahrheit nicht oder nicht mehr gewollt ist und die Ehe nur aus ausländerrechtlichen Gründen besteht.</w:t>
      </w:r>
    </w:p>
    <w:p>
      <w:r>
        <w:rPr>
          <w:b/>
        </w:rPr>
        <w:t>E. 4.6</w:t>
      </w:r>
    </w:p>
    <w:p>
      <w:r>
        <w:t>In der vorliegenden Streitsache sind solche zusätzlichen Indizien nicht zu erkennen. In seinem Schreiben vom 28. August 2008 brachte der geschiedene Ehemann der Beschwerdeführerin zum Ausdruck, dass er von Anfang an Kenntnis über deren berufliche Tätigkeit gehabt und er sich daran nie gestört habe. Das schlussendliche Scheitern der Ehe habe andere Gründe gehabt. Beide Ehegatten gaben im Übrigen bereits im Vorverfahren übereinstimmend an, während Jahren eine durch Harmonie und gegenseitiges Verständnis geprägte Ehe geführt zu haben. Die offen kommunizierte Tätigkeit der Beschwerdeführerin als Prostituierte habe dem gegenseitigen Ehewillen zu keiner Zeit einen Abbruch getan. Den Behörden waren die beruflichen Aktivitäten der Beschwerdeführerin ebenfalls bestens bekannt, bewilligte ihr doch die kantonale Migrationsbehörde nur kurze Zeit nach der Eheschliessung im November 2001 diese Art selbständiger Erwerbstätigkeit in einem einschlägigen Etablissement (in der Bewilligung euphemistisch als "Masseuse" bezeichnet). Zudem wusste die Migrationsbehörde aus späteren Verzeigungen wegen Ausübung der Prostitution ausserhalb des ausländerrechtlich und ordnungspolizeilich bewilligten bzw. zulässigen Rahmens, dass die Beschwerdeführerin auch in der Folge - zumindest gelegentlich - dieser Tätigkeit nachging.</w:t>
      </w:r>
    </w:p>
    <w:p>
      <w:r>
        <w:rPr>
          <w:b/>
        </w:rPr>
        <w:t>E. 4.7</w:t>
      </w:r>
    </w:p>
    <w:p>
      <w:r>
        <w:t>Im Sinne eines Zwischenergebnisses ist festzuhalten, dass die Beschwerdeführerin mit der mehr als dreijährigen Ehegemeinschaft eine der beiden Anspruchsvoraussetzungen in Art. 50 Abs. 1 Bst. a AuG erfüllt. Zur zweiten Anspruchsvoraussetzung in Art. 50 Abs. 1 Bst. a AuG (erfolgreiche Integration) äussert sich die Vorinstanz nicht. Sie übergeht auch die Frage, ob wichtige persönliche Gründe einen weiteren Aufenthalt in der Schweiz erforderlich machen und der Beschwerdeführerin deshalb gestützt auf Art. 50 Abs. 1 Bst. b AuG ein Anspruch auf Verlängerung der Aufenthaltsbewilligung zusteht, und stellt sich auf den Standpunkt, dass mangels einer Anspruchsgrundlage ein Ermessensentscheid zu treffen sei. Sodann nimmt die Vorinstanz eine Interessenabwägung vor, wobei sie sich bei der Gewichtung der privaten Interessen erkennbar an Härtefallkriterien orientiert und in diesem Zusammenhang kurz auf die Integration der Beschwerdeführerin eingeht. Diese wird gesamthaft als nicht über das zu erwartende Mass hinausgehend bewertet. Die Beschwerdeführerin habe zudem zu Klagen Anlass gegeben, sei sie doch wegen unerlaubter Ausübung der Prostitution bestraft worden. Zusammenfassend hält die Vorinstanz fest, dass das öffentliche Interesse an einer restriktiven Einwanderungspolitik gegenüber ausländischen Personen aus dem Nicht-EU/EFTA-Raum dem privaten Interesse der Beschwerdeführerin vorgehe, weshalb die Zustimmung zur Verlängerung der Aufenthaltsbewilligung zu verweigern sei.</w:t>
      </w:r>
    </w:p>
    <w:p>
      <w:r>
        <w:rPr>
          <w:b/>
        </w:rPr>
        <w:t>E. 4.8</w:t>
      </w:r>
    </w:p>
    <w:p>
      <w:r>
        <w:t>Die Integration bezweckt, längerfristig und rechtmässig anwesenden Ausländerinnen und Ausländern die Teilhabe am wirtschaftlichen, sozialen und kulturellen Leben zu ermöglichen (Art. 4 Abs. 2 AuG; BGE 134 II 1 E. 4.1 S. 4). Nach Art. 77 Abs. 4 VZAE liegt eine erfolgreiche Integration im Sinne von Art. 50 Abs. 1 Bst. a AuG vor, wenn die ausländische Person namentlich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(Urteil des Bundesgerichts 2C_426/2011 vom 20. November 2011 E. 3.2 mit Hinweisen). Dabei schliessen Defizite auf einzelnen Integrationsfeldern nicht notwendigerweise aus, dass gesamthaft betrachtet eine erfolgreiche Integration zu bejahen ist (Urteil des Bundesgerichts 2C_426/2011 vom 20. November 2011 E. 3.5 in Bezug auf die soziale Integration).</w:t>
      </w:r>
    </w:p>
    <w:p>
      <w:r>
        <w:rPr>
          <w:b/>
        </w:rPr>
        <w:t>E. 4.9</w:t>
      </w:r>
    </w:p>
    <w:p>
      <w:r>
        <w:t>Allzu hohe Anforderungen an den Integrationsgrad dürfen im Anwendungsbereich von Art. 50 Abs. 1 Bst. a AuG nicht gestellt werden. Die erfolgreiche Integration ist hier weder ein Aspekt des privaten Interesses, das sich im Rahmen der Interessenabwägung bei einem Ermessensentscheid (vgl. Art. 54 Abs. 2 und Art. 96 Abs. 1AuG) gegen das zum vornherein erhebliche Gewicht des öffentlichen Interesses an der Wahrung einer restriktiven Migrationspolitik durchsetzen müsste, noch stellt sie sich als ein Wertungskriterium bei der Konkretisierung der restriktiv auszulegenden unbestimmten Rechtsbegriffe des "schwerwiegenden persönlichen Härtefalles" nach Art. 30 Abs. 1 Bst. b AuG bzw. des "wichtigen Grundes" nach Art. 50 Abs. 1 Bst. b AuG dar (vgl. Art. 31 Abs. 1 Bst. a VZAE). Sie ist vielmehr eine eigenständige Anspruchsvoraussetzung, die denjenigen ausländischen Personen zu einem Aufenthaltsrecht verhelfen will, die unter Berücksichtigung ihrer konkreten Situation einen ausreichenden Beitrag zum Integrationsprozess geleistet haben, wie er in Art. 77 Abs. 4 VZAE und Art. 4 VIntA umschrieben ist. Das ist nach der Rechtsprechung des Bundesgerichts regelmässig schon der Fall, wenn die ausländische Person eine feste Arbeitsstelle hat, die wirtschaftliche Sozialhilfe nicht in Anspruch nimmt, die öffentliche Ordnung achtet und die am Wohnort gesprochene Landessprache spricht (Urteil des Bundesgerichts 2C_426/2011 vom 20. November 2011 E. 3.3 mit Hinweisen). Deshalb kann der Erfolg der Integration nicht mit dem Argument negiert werden, der Integrationsgrad gehe nicht über das hinaus, was aufgrund der gesamten Umstände vernünftigerweise erwartet werden dürfe. Die Erreichung eines Integrationsgrades, der in Beachtung der gesamten Umstände des konkreten Einzelfalles erwartet werden darf, impliziert im Gegenteil das Vorliegen einer erfolgreichen Integration im Sinne von Art. 50 Abs. 1 Bst. a AuG.</w:t>
      </w:r>
    </w:p>
    <w:p>
      <w:r>
        <w:rPr>
          <w:b/>
        </w:rPr>
        <w:t>E. 4.10</w:t>
      </w:r>
    </w:p>
    <w:p>
      <w:r>
        <w:t>Die spärlichen Feststellungen der Vorinstanzen zur Integration der Beschwerdeführerin, die allesamt im in casu unzutreffenden rechtlichen Kontext einer Interessenabwägung im Rahmen eines Ermessensentscheids stehen, lassen vor dem Hintergrund der vorstehenden Erwägungen den Schluss auf das Fehlen einer erfolgreichen Integration im Sinne von Art. 50 Abs. 1 Bst. a AuG nicht zu. Namentlich ist der Umstand, dass die Beschwerdeführerin der Prostitution nachgeht und in diesem Zusammenhang - soweit bekannt - in den Jahren 2002 und 2004 zwei Mal wegen Verstössen gegen das Ausländerrecht bzw. die kantonalen Vorschriften über die Strassenprostitution gebüsst wurde, für sich allein nicht geeignet, um ihr den verlangten Respekt gegenüber der rechtsstaatlichen Ordnung grundsätzlich absprechen zu können. Auf der anderen Seite kann angesichts der lückenhaften Sachverhaltsermittlung durch die Vorinstanz auch nicht mit hinreichender Sicherheit ausgeschlossen werden, dass weitere Erhebungen rechtserhebliche Integrationsdefizite bei der Beschwerdeführerin aufdecken könnten. Es bleibt die Feststellung, dass die Streitsache von der Vorinstanz zu Unrecht nicht unter dem Gesichtspunkt des Art. 50 Abs. 1 Bst. a AuG geprüft wurde (Art. 49 Bst. a VwVG) und der Sachverhalt mit Blick auf den richtigerweise anzuwendenden Art. 50 Abs. 1 Bst. a AuG mit seiner Anspruchsvoraussetzung der erfolgreichen Integration unzureichend abgeklärt ist (Art. 49 Bst. b VwVG).</w:t>
      </w:r>
    </w:p>
    <w:p>
      <w:r>
        <w:rPr>
          <w:b/>
        </w:rPr>
        <w:t>E. 5</w:t>
      </w:r>
    </w:p>
    <w:p>
      <w:r>
        <w:t>In einer Konstellation wie der vorliegenden kann es nicht Aufgabe des Bundesverwaltungsgerichts sein, die Entscheidsreife der Streitsache herbeizuführen. Die Beschwerde ist daher gutzuheissen, die Verfügung vom 28. Oktober 2008 aufzuheben und die Sache an die Vorinstanz zur Neubeurteilung zurückzuweisen. Die Vorinstanz wird zu prüfen haben, ob eine erfolgreiche Integration der Beschwerdeführerin im Sinne von Art. 50 Abs. 1 Bst. a AuG gegeben ist. Ist das nicht der Fall, wird sie in einem zweiten Schritt zu untersuchen haben, ob sich die Beschwerdeführerin auf Art. 50 Abs. 1 Bst. b AuG berufen kann.</w:t>
      </w:r>
    </w:p>
    <w:p>
      <w:r>
        <w:rPr>
          <w:b/>
        </w:rPr>
        <w:t>E. 6</w:t>
      </w:r>
    </w:p>
    <w:p>
      <w:r>
        <w:t>Entsprechend dem Verfahrensausgang sind der Beschwerdeführerin keine Kosten aufzuerlegen (Art. 63 Abs. 1 VwVG). Für die im Verfahren vor dem Bundesverwaltungsgericht erwachsenen notwendigen Kosten ist ihr zudem eine Parteientschädigung von Fr. 800.- zuzusprechen (Art. 64 Abs. 1 VwVG i.V.m. Art. 7 ff.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