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C-7263/2008 vom 31. August 2010</w:t>
      </w:r>
    </w:p>
    <w:p>
      <w:r>
        <w:t>Bundesverwaltungsgericht, 2010-08-31, DE</w:t>
      </w:r>
    </w:p>
    <w:p>
      <w:r>
        <w:rPr>
          <w:b/>
        </w:rPr>
        <w:t xml:space="preserve">Quelle: </w:t>
      </w:r>
      <w:r>
        <w:t>https://mcp.opencaselaw.ch/entscheid/bvger_C-7263_2008</w:t>
      </w:r>
    </w:p>
    <w:p>
      <w:r>
        <w:t>FR: TAF C-7263/2008 du 31 août 2010</w:t>
      </w:r>
    </w:p>
    <w:p>
      <w:r>
        <w:t>IT: TAF C-7263/2008 del 31 agosto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formgerechte Beschwerde ist einzutreten (vgl.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Wird gegen eine Person, welche nicht Angehörige eines Staates ist, der durch eines der Schengen-Assoziierungsabkommen (vgl. Anhang 1 Ziffer 1 AuG) gebunden ist, ein Einreiseverbot nach Art. 67 AuG verhängt, wird diese Person gestützt auf Art. 94 Abs. 1 und Art. 96 des Übereinkommens vom 19. Juni 1990 zur Durchführung des Übereinkommens betreffend den schrittweisen Abbau der Kontrollen an den gemeinsamen Grenzen (Schengener Durchführungsübereinkommen [SDÜ], Abl. L 239 vom 22. September 2000, S. 19-62) und Art. 16 Abs. 2 und 4 des Bundesgesetzes vom 13. Juni 2008 über die polizeilichen Informationssysteme des Bundes (BPI, SR 361) grundsätzlich im Schengener Informationssystem ([SIS], vgl. dazu Art. 92 ff. SDÜ) zur Einreiseverweigerung ausgeschrieben. Eine solche Ausschreibung einer Person im SIS zur Einreiseverweigerung aufgrund einer vom BFM verhängten Fernhaltemassnahme bewirkt, dass ihr die Einreise in das Hoheitsgebiet der Schengen-Mitgliedstaaten verweigert wird (vgl. Art. 13 Abs. 1 der Verordnung [EG] Nr. 562/2006 des Europäischen Parlaments und des Rates vom 15. März 2006 über einen Gemeinschaftskodex für das Überschreiten der Grenzen durch Personen [Schengener Grenzkodex bzw. SGK, Abl. L 105 vom 13. April 2006, S. 1-32]).</w:t>
      </w:r>
    </w:p>
    <w:p>
      <w:r>
        <w:rPr>
          <w:b/>
        </w:rPr>
        <w:t>E. 4.1</w:t>
      </w:r>
    </w:p>
    <w:p>
      <w:r>
        <w:t>Das in Art. 67 AuG geregelte Einreiseverbot kann nach Abs. 1 dieser Bestimmung vom BFM gegenüber ausländischen Personen verfügt werden, die gegen die öffentliche Sicherheit und Ordnung in der Schweiz oder im Ausland verstossen haben oder diese gefährden (Bst. a), Sozialhilfekosten verursacht haben (Bst. b), ausgeschafft worden sind (Bst. c) oder in Vorbereitungs-, Ausschaffungs- oder Durchsetzungshaft genommen werden mussten (Bst. d). Das Einreiseverbot wird befristet oder in schwerwiegenden Fällen unbefristet verfügt (Art. 67 Abs. 3 AuG). Während der Gültigkeit des Einreiseverbots ist der ausländischen Person die Einreise in die Schweiz untersagt. Wenn wichtige Gründe es rechtfertigen, kann das Einreiseverbot vorübergehend aufgehoben werden (Art. 67 Abs. 4 AuG). Wie bereits die altrechtliche Einreisesperre (vgl. Art. 13 Abs. 1 des Bundesgesetzes vom 26. März 1931 über Aufenthalt und Niederlassung der Ausländer [ANAG, BS 1 121]) ist das Einreiseverbot keine Sanktion für vergangenes Fehlverhalten, sondern eine Massnahme zur Abwendung künftiger Störungen der öffentlichen Sicherheit und Ordnung (siehe Botschaft zum Bundesgesetz über die Ausländerinnen und Ausländer vom 8. März 2002 [nachfolgend: Botschaft], BBl 2002 3709, 3813). Die öffentliche Sicherheit und Ordnung im Sinne von Art. 67 Abs. 1 Bst. a AuG bildet den Oberbegriff für die Gesamtheit der polizeilichen Schutzgüter. Sie umfasst unter anderem die Unverletzlichkeit der objektiven Rechtsordnung; deren Verletzung ist namentlich gegeben bei erheblichen oder wiederholten Verstössen gegen gesetzliche Vorschriften oder behördliche Verfügungen sowie bei Nichterfüllung öffentlichrechtlicher oder privatrechtlicher Verpflichtungen (Botschaft, a.a.O., 3809; vgl. auch Art. 80 Abs. 1 Bst. a und b der Verordnung vom 24. Oktober 2007 über Zulassung, Aufenthalt und Erwerbstätigkeit [VZAE, SR 142.201] sowie Rainer J. Schweizer/Patrick Sutter/Nina Widmer, in: Rainer J. Schweizer [Hrsg.], Sicherheits- und Ordnungsrecht des Bundes, SBVR Bd. III/1, Basel 2008, Teil B, Rz. 13 mit Hinweisen). Eine Fernhaltemassnahme knüpft nicht an die Erfüllung eines Straftatbestandes an, sondern an das Vorliegen einer Polizeigefahr. Ob eine solche besteht und wie sie zu gewichten ist, hat die zuständige Behörde in eigener Kompetenz, unter Zugrundelegung spezifisch ausländerrechtlicher Kriterien zu beurteilen. Das Vorliegen eines (rechtskräftigen) Strafurteils stellt - entsprechend - keine Voraussetzung für die Verhängung einer Fernhaltemassnahme dar; ein Einreiseverbot kann vielmehr grundsätzlich auch verhängt werden, wenn ein solches fehlt - sei es weil ein Strafverfahren noch hängig ist oder gar nicht eröffnet bzw. eingestellt wurde (vgl. Urteile des Bundesverwaltungsgerichts C-7152/2008 vom 16. Juni 2010 E. 3.3 und C-4338/2008 vom 30. Dezember 2009 E. 5.2 mit weiterem Hinweis; vgl. zudem auch die Erläuterungen im Zusammenhang mit dem Begriff der öffentlichen Sicherheit und Ordnung in der Botschaft, a.a.O., 3813 und 3809). Allgemein gilt zudem, dass für die Verhängung eines Einreiseverbots kein vorsätzlicher Verstoss gegen ausländerrechtliche Bestimmungen erforderlich ist.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Ausländerin und jedem Ausländer obliegt, sich über bestehende Rechte und Pflichten im Zusammenhang mit ausländerrechtlichen Vorschriften ins Bild zu setzen und sich im Falle von Unklarheiten gegebenenfalls bei den zuständigen Stellen zu informieren (vgl. Urteil des Bundesverwaltungsgerichts C-5845/2008 vom 6. Mai 2010 E. 3.3 mit Hinweis).</w:t>
      </w:r>
    </w:p>
    <w:p>
      <w:r>
        <w:rPr>
          <w:b/>
        </w:rPr>
        <w:t>E. 4.2</w:t>
      </w:r>
    </w:p>
    <w:p>
      <w:r>
        <w:t>Sofern sie keiner Erwerbstätigkeit nachgehen, benötigen Ausländerinnen und Ausländer für einen Aufenthalt in der Schweiz von bis zu drei Monaten keine Bewilligung (Art. 10 Abs. 1 AuG). Demgegenüber benötigen Ausländerinnen und Ausländer, die in der Schweiz eine Erwerbstätigkeit ausüben wollen, unabhängig von der Aufenthaltsdauer eine Bewilligung (Art. 11 Abs. 1 Satz 1 AuG). Art. 9 Abs. 1 VZAE hält präzisierend fest, dass Ausländerinnen und Ausländer ohne Erwerbstätigkeit in der Schweiz für einen Aufenthalt von bis zu drei Monaten innerhalb eines Zeitraums von sechs Monaten nach Einreise keine Bewilligung benötigen und sich nicht anmelden müssen (bewilligungsfreier Aufenthalt). Die Einreisevoraussetzungen nach Art. 5 AuG müssen während des gesamten bewilligungsfreien Aufenthalts erfüllt sein (Art. 9 Abs. 2 VZAE).</w:t>
      </w:r>
    </w:p>
    <w:p>
      <w:r>
        <w:rPr>
          <w:b/>
        </w:rPr>
        <w:t>E. 5.1.1</w:t>
      </w:r>
    </w:p>
    <w:p>
      <w:r>
        <w:t>Anlässlich der polizeilichen Einvernahme vom 4. August 2008 räumte die Beschwerdeführerin ein, von ihrer Einreise in die Schweiz im Mai 2008 bis zu jenem Zeitpunkt (August 2008) das Kind ihrer Halbschwester betreut zu haben, während diese vollzeitlich einer Erwerbstätigkeit nachging. Die Richtigkeit dieser Angaben bestätigte sie (ebenso wie ihre Halbschwester) unterschriftlich. Beschwerdeweise macht die Beschwerdeführerin sinngemäss geltend, es habe sich bei der von ihr übernommenen Betreuung der Tochter ihrer Halbschwester nicht um eine (entlöhnte) Erwerbstätigkeit, sondern um eine reine Gefälligkeitshandlung gehandelt.</w:t>
      </w:r>
    </w:p>
    <w:p>
      <w:r>
        <w:rPr>
          <w:b/>
        </w:rPr>
        <w:t>E. 5.1.2</w:t>
      </w:r>
    </w:p>
    <w:p>
      <w:r>
        <w:t>Zunächst gilt es festzuhalten, dass in casu nicht entscheidend ist, ob der Beschwerdeführerin von ihrer Halbschwester für ihre Arbeitsleistungen (neben - so ist anzunehmen - Kost und Logis) allenfalls ein Entgelt ausgerichtet wurde oder nicht. Denn als Erwerbstätigkeit gilt im vorliegenden Zusammenhang jede üblicherweise gegen Entgelt ausgeübte unselbstständige oder selbstständige Tätigkeit, selbst wenn sie unentgeltlich erfolgt (Art. 11 Abs. 2 AuG; Hervorhebung nicht im Original). Ohne Belang für die Qualifikation als (unselbstständige) Erwerbstätigkeit ist unter anderem weiter, ob die Beschäftigung nur stunden- oder tageweise oder vorübergehend ausgeübt wird (Art. 1a Abs. 1 VZAE). Arbeitsleistungen in Haushalt und/oder Familie gelten sodann - wie eben erwähnt unbesehen einer allfälligen Entlöhnung - zumindest dort als (bewilligungspflichtige) Erwerbstätigkeit, wo der Erwerbscharakter nicht durch eine besondere verwandtschaftliche und emotionale Nähe in den Hintergrund gedrängt wird (vgl. die Urteile des Bundesverwaltungsgerichts C-1508/2008 vom 27. Juni 2008 E. 7.2, C-737/2006 vom 7. Mai 2008 E. 6 und C-3793/2007 vom 29. August 2007 E. 5.3 sowie E. 11 des in Verwaltungspraxis der Bundesbehörden [VPB] 63.37 teilweise publizierten Entscheids des Eidgenössischen Justiz- und Polizeidepartements vom 22. September 1997). Eine Ausnahme von der Bewilligungspflicht solcher Arbeitsleistungen kommt mithin höchstens in Fällen in Betracht, in welchen sie durch nächste Verwandte vorgenommen werden (vgl. das Urteil des Bundesverwaltungsgerichts C-3793/2007 vom 29. August 2007 E. 5.3 [in casu verneint im Falle des Neffens des Beschwerdeführers bzw. Cousins der betreuten Kinder]), wenn die Betreuung just dadurch eine besondere Ausgestaltung erhält. Massgeblich ist also, ob die Arbeitsleistung gerade wegen der verwandtschaftlichen und emotionalen Nähe der betreuenden zur betreuten Person nicht durch diejenige einer Drittperson ersetzt werden könnte, ohne dass der besondere Charakter der Tätigkeit verloren ginge (vgl. VPB 63.37 E. 11). Vorliegend erscheint bereits in grundsätzlicher Weise fraglich, ob eine (Halb-)Schwester bzw. Tante des betreuten Kindes zum Kreis dieser nächsten Verwandten gezählt werden kann, deren Arbeitsleistungen nach diesen Ausführungen allenfalls noch als Gefälligkeitshandlungen betrachtet werden könnten. Als ausschlaggebend erweist sich vorliegend jedoch in erster Linie, dass es C._______ offenbar ohnehin nicht um die Betreuung genau durch die Beschwerdeführerin als ihre Halbschwester bzw. aufgrund einer - im Übrigen auch nicht behaupteten - besonderen emotionalen Nähe zwischen dieser und ihrer Tochter gegangen war. Darauf lässt die in der Beschwerde verwendete Formulierung schliessen, wonach solcherart Unterstützung unter Familienangehörigen im Herkunftsland der Beschwerdeführerin vollkommen üblich sei (S. 2). Dies lässt die Annahme naheliegend erscheinen, dass sie ihre Halbschwester um Übernahme der Betreuung ersucht hat, weil ihr klar war, dass sich vermutungsweise einzig diese bereit zeigen würde, diese (insbesondere im fraglichen Umfang [dazu sogleich]) unentgeltlich wahrzunehmen. Auch aus den vorinstanzlichen bzw. beigezogenen Akten ergibt sich kein Hinweis, dass eine besondere (namentlich emotionale), über das rein verwandtschaftliche Verhältnis (Tante/Nichte) hinausgehende Nähe bzw. Beziehung zwischen der Betreuerin und dem betreuten Kind bestanden hätte. Das vorliegende verwandtschaftliche Verhältnis alleine erweist sich nicht als ausreichend, um vom Bestehen der geforderten besonderen Beziehung auszugehen. Schliesslich fällt in diesem Zusammenhang auch die Dauer sowie der Umfang der Betreuung in Betracht bzw. der Umstand, dass diese die ganze Zeit über ausschliesslich durch die Beschwerdeführerin wahrgenommen wurde (dies im Gegensatz zum dem erwähnten VPB-Entscheid zugrundeliegenden Fall). Angesichts dessen könnte (unbesehen der obigen Ausführungen) wohl ohnehin kaum mehr von einer blossen Gefälligkeitshandlung ausgegangen werden. Die über drei Monate hinweg von der Beschwerdeführerin vorgenommenen Arbeitsleistungen sind damit als Erwerbstätigkeit im Sinne von Art. 11 Abs. 2 AuG zu qualifizieren, für welche sie vorgängig eine Bewilligung hätte einholen müssen. Mit der Ausübung einer nicht bewilligten Erwerbstätigkeit hat sie ausländerrechtlichen Bestimmungen (Art. 115 Abs. 1 Bst. c AuG) zuwidergehandelt.</w:t>
      </w:r>
    </w:p>
    <w:p>
      <w:r>
        <w:rPr>
          <w:b/>
        </w:rPr>
        <w:t>E. 5.2</w:t>
      </w:r>
    </w:p>
    <w:p>
      <w:r>
        <w:t>In der angefochtenen Verfügung wird der Beschwerdeführerin zudem vorgeworfen, sich illegal in der Schweiz aufgehalten zu haben (vgl. Art. 115 Abs. 1 Bst. b AuG). Nach dem Dargelegten (vgl. E. 4.2) hätte die Beschwerdeführerin angesichts der von ihr ausgeübten Erwerbstätigkeit für ihren Aufenthalt in der Schweiz einer Anwesenheitsbewilligung (vgl. Art. 32 AuG und Art. 19 VZAE) bedurft. Über eine solche verfügte sie - unbestrittenermassen - nicht. Ihr dreimonatiger Aufenthalt in der Schweiz ohne die erforderliche Bewilligung erweist sich sodann in der Tat als rechtswidrig im Sinne von Art. 115 Abs. 1 Bst. b AuG (zum entsprechenden bis zum 31. Dezember 2007 geltenden Art. 23 Abs. 1 al. 4 ANAG vgl. VALENTIN ROSCHACHER, Die Strafbestimmungen des Bundesgesetzes über Aufenthalt und Niederlassung der Ausländer vom 26. März 1931 [ANAG], Diss., Chur/Zürich 1991, S. 42 ff.). Durch ihr Verhalten hat die Beschwerdeführerin somit nicht nur die gesetzlichen Vorschriften betreffend die Aufnahme einer Erwerbstätigkeit in der Schweiz verletzt, sondern sich zugleich auch illegal in der Schweiz aufgehalten.</w:t>
      </w:r>
    </w:p>
    <w:p>
      <w:r>
        <w:rPr>
          <w:b/>
        </w:rPr>
        <w:t>E. 5.3</w:t>
      </w:r>
    </w:p>
    <w:p>
      <w:r>
        <w:t>Zusammenfassend ist festzuhalten, dass die Beschwerdeführerin gegen die öffentliche Sicherheit und Ordnung in der Schweiz verstossen und damit den Fernhaltegrund von Art. 67 Abs. 1 Bst. a AuG gesetzt hat. Die Verhängung der Fernhaltemassnahme erweist sich damit in grundsätzlicher Hinsicht als gerechtfertigt.</w:t>
      </w:r>
    </w:p>
    <w:p>
      <w:r>
        <w:rPr>
          <w:b/>
        </w:rPr>
        <w:t>E. 6</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5. Aufl., Zürich/Basel/Genf/St. Gallen 2006, Rz. 613 ff.). Das generalpräventiv motivierte öffentliche Interesse, die ausländerrechtliche Ordnung durch eine konsequente Massnahmenpraxis gegenüber fehlbaren ausländischen Personen zu schützen, ist ganz allgemein als gewichtig zu betrachten. Vorliegend fällt zudem der Aspekt der Spezialprävention ins Gewicht, zumal (in Anbetracht der wiederholten Aufenthalte der Beschwerdeführerin in der Schweiz in der Vergangenheit) möglich erscheint, dass sie in Erwägung zieht, in Zukunft wieder in die Schweiz einzureisen und hierzulande im Rahmen von Besuchsaufenthalten bei ihrer Halbschwester zu verweilen. Die Beschwerdeführerin macht demgegenüber keine privaten Interessen geltend, ohne besondere (über die Visumspflicht, der sie als philippinische Staatsangehörige ohnehin untersteht, hinausgehende) Restriktionen in die Schweiz einreisen zu können, und es ergeben sich auch keine solchen aus den Akten. Insbesondere sind keine allenfalls unter dem Blickwinkel von Art. 8 der Konvention vom 4. November 1950 zum Schutze der Menschenrechte und Grundfreiheiten (EMRK, SR 0.101) und Art. 13 Abs. 1 der Bundesverfassung der Schweizerischen Eidgenossenschaft vom 18. April 1999 (BV, SR 101) relevante persönliche Beziehungen zu hierzulande wohnhaften Personen ersichtlich. Auch hinsichtlich der Ausschreibung im SIS bringt die Beschwerdeführerin keinerlei Einwände vor. Vor diesem Hintergrund kommt das Bundesverwaltungsgericht zum Schluss, dass die Verhängung des Einreiseverbots als solche sowie dessen Dauer von zwei Jahren unter Berücksichtigung der Praxis in vergleichbaren Fällen eine verhältnismässige und angemessene Massnahme zum Schutz der öffentlichen Ordnung und Sicherheit darstellt.</w:t>
      </w:r>
    </w:p>
    <w:p>
      <w:r>
        <w:rPr>
          <w:b/>
        </w:rPr>
        <w:t>E. 7</w:t>
      </w:r>
    </w:p>
    <w:p>
      <w:r>
        <w:t>Aus diesen Erwägungen ergibt sich, dass die angefochtene Verfügung Bundesrecht nicht verletzt und den rechtserheblichen Sachverhalt richtig und vollständig feststellt; sie ist auch angemessen (Art. 49 VwVG). Die Beschwerde ist daher abzuweisen.</w:t>
      </w:r>
    </w:p>
    <w:p>
      <w:r>
        <w:rPr>
          <w:b/>
        </w:rPr>
        <w:t>E. 8</w:t>
      </w:r>
    </w:p>
    <w:p>
      <w:r>
        <w:t>Bei diesem Ausgang des Verfahrens sind der Beschwerdeführerin die Kosten aufzuerlegen (Art. 63 Abs. 1 VwVG i.V.m. Art. 1, Art. 2 und Art. 3 Bst. b des Reglements vom 21. Februar 2008 über die Kosten und Entschädigungen vor dem Bundesverwaltungsgericht [VGKE,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