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C-7258/2009 vom 20. Februar 2012</w:t>
      </w:r>
    </w:p>
    <w:p>
      <w:r>
        <w:t>Bundesverwaltungsgericht, 2012-02-20, DE</w:t>
      </w:r>
    </w:p>
    <w:p>
      <w:r>
        <w:rPr>
          <w:b/>
        </w:rPr>
        <w:t xml:space="preserve">Quelle: </w:t>
      </w:r>
      <w:r>
        <w:t>https://mcp.opencaselaw.ch/entscheid/bvger_C-7258_2009</w:t>
      </w:r>
    </w:p>
    <w:p>
      <w:r>
        <w:t>FR: TAF C-7258/2009 du 20 février 2012</w:t>
      </w:r>
    </w:p>
    <w:p>
      <w:r>
        <w:t>IT: TAF C-7258/2009 del 20 febbraio 2012</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siehe in Bezug auf Art. 14 Abs. 2 AsylG auch Urteil des Bundesgerichts 2C_692/2010 vom 13. September 2010 E. 3).</w:t>
      </w:r>
    </w:p>
    <w:p>
      <w:r>
        <w:rPr>
          <w:b/>
        </w:rPr>
        <w:t>E. 1.2</w:t>
      </w:r>
    </w:p>
    <w:p>
      <w:r>
        <w:t>Das Verfahren richtet sich nach dem Verwaltungsverfahrensgesetz, dem Verwaltungsgerichtsgesetz und dem Bundesgerichtsgesetz, soweit das Asylgesetz - sofern anwendbar - nichts anderes bestimmt (Art. 6 AsylG).</w:t>
      </w:r>
    </w:p>
    <w:p>
      <w:r>
        <w:rPr>
          <w:b/>
        </w:rPr>
        <w:t>E. 1.3</w:t>
      </w:r>
    </w:p>
    <w:p>
      <w:r>
        <w:t>Der Beschwerdeführer ist als Verfügungsadressat gemäss Art. 48 Abs. 1 VwVG zur Beschwerde legitimiert. Auf die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zur Rechtsnatur dieses Verfahrens vgl. Urteil des Bundesverwaltungsgerichts C-7265/2007 vom 24. März 2010 E. 3).</w:t>
      </w:r>
    </w:p>
    <w:p>
      <w:r>
        <w:rPr>
          <w:b/>
        </w:rPr>
        <w:t>E. 3.2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Der Beschwerdeführer hält sich seit der Einreichung des Asylgesuches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Wiederruf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7.272 ff.). Einen weiterreichenden Regelungsumfang hat die insoweit nur deklaratorische Verordnungsbestimmung von Art. 31 Abs. 2 VZAE (abgesehen von der wohl ungenauen Übersetzung im französischen Text) nicht.</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 Nur schon vor diesem Hintergrund greift der in der Rechtsmitteleingabe vom 20. Juli 2009 erhobene allgemeine Vorwurf, das BFM setze mit der angefochtenen Verfügung ein falsches Signal, zu kurz. Wie die nachfolgenden Ausführungen aufzeigen, erweist sich besagter Einwand im konkreten Fall auch als unbegründet.</w:t>
      </w:r>
    </w:p>
    <w:p>
      <w:r>
        <w:rPr>
          <w:b/>
        </w:rPr>
        <w:t>E. 6.1</w:t>
      </w:r>
    </w:p>
    <w:p>
      <w:r>
        <w:t>Der Beschwerdeführer hält sich seit gut siebeneinhalb Jahren in der Schweiz auf, was im Vergleich keiner sehr langen Dauer entspricht. So hat das Bundesgericht in einem Urteil aus dem Jahr 1998 entschieden, dass bei einer ausländischen Person, die sich seit zehn Jahren in der Schweiz aufhält, in der Regel vom Vorliegen eines schwerwiegenden persönlichen Härtefalles auszugehen ist, sofern sie finanziell unabhängig, sozial und beruflich gut integriert ist und sich bis dahin klaglos verhalten hat, vorausgesetzt, dass sie die Dauer des Aufenthaltes nicht absichtlich durch das missbräuchliche Ergreifen von Rechtsmitteln verlängert hat. Allerdings bezieht sich diese Rechtsprechung auf Asylbewerber, über deren Asylgesuch nach zehn Jahren immer noch nicht befunden wurde (vgl. BGE 124 II 110 E. 3 S. 112 f.). Damit wird der besonderen Situation dieser Personenkategorie Rechnung getragen, die von Verfahrens wegen gezwungen ist, den Kontakt zum Herkunftsland abzubrechen (BGE 123 II 125 E. 3 S. 128; Urteil des Bundesgerichts 2A.542/2005 vom 11. November 2005 E. 3.2.1). Der Beschwerdeführer befindet sich in einer anderen Situation. Das Asylverfahren wurde nach etwas mehr als fünf Jahren Aufenthalt am 15. Dezember 2009 rechtskräftig entschieden, worauf er eine Frist zur Ausreise aus der Schweiz erhielt. Sein Aufenthalt über die Ausreisefrist hinaus gründet sich ausschliesslich auf die Duldung durch den Wohnkanton während der Rechtshängigkeit des ausländerrechtlichen Bewilligungsverfahrens. Weder war er in dieser Zeit - anders als im Asylverfahren - gezwungen, den Kontakt zu seiner Heimat abgebrochen zu halten, noch durfte er davon ausgehen, sein Aufenthalt werde definitiv geregelt. Somit stellt sich die Frage, ob aus den sonstigen Umständen des Aufenthalts und Verhaltens des Beschwerdeführers eine schwerwiegende persönliche Notlage abzuleiten ist.</w:t>
      </w:r>
    </w:p>
    <w:p>
      <w:r>
        <w:rPr>
          <w:b/>
        </w:rPr>
        <w:t>E. 6.2</w:t>
      </w:r>
    </w:p>
    <w:p>
      <w:r>
        <w:t>Die soziale Integration des Beschwerdeführers während seines Aufenthaltes muss als überdurchschnittlich bewertet werden. Den Akten kann entnommen werden, dass er sich sehr um den Erwerb der deutschen Sprache bemühte, indem er diverse Kurse, sogar einen Schweizerdeutschkurs besucht hat (Basiskurs Modul 1-3 bei der Caritas, Deutsch als Fremdsprache Niveau C1 und Schwyzerdütsch B1/B2 an der Volkshochschule). Entsprechend gut sind heute seine Deutschkenntnisse. Er verfügt zudem über einen grossen Bekanntenkreis und ist in diversen sozialen Einrichtungen engagiert. Bei der Solothurner Gruppe von Amnesty International hilft er seit 2007 als Mitglied aktiv bei Standaktionen mit und nimmt an regelmässigen Treffen zum Briefeschreiben teil (vgl. Schreiben vom 20. Februar 2010). Er singt seit 2007 im Chor der Nationen und ist seit Mai 2008 aktives Mitglied beim Cercle Romand Soleure. Zahlreiche Referenzschreiben beschreiben ihn übereinstimmend als freundliche, korrekte, zuverlässige, kommunikative, sehr gut integrierte und integrierende Persönlichkeit mit hoher sozialer Kompetenz und grosser Einsatzbereitschaft. Ins Gewicht fällt, dass die Unterstützungsschreiben nicht den Eindruck von vorformulierten Bestätigungen erwecken, sondern echte Anteilnahme und Sympathie erkennen lassen. In dieses Bild fügt sich auch die - im Hinblick auf den Ablauf der Ausreisefrist am 19. Januar 2010 - mittels öffentlicher Aktionen getätigte Unterstützung durch seine Mitbürger.</w:t>
      </w:r>
    </w:p>
    <w:p>
      <w:r>
        <w:rPr>
          <w:b/>
        </w:rPr>
        <w:t>E. 6.3</w:t>
      </w:r>
    </w:p>
    <w:p>
      <w:r>
        <w:t>Auch in wirtschaftlicher Hinsicht hat sich der Beschwerdeführer stark engagiert gezeigt. So war er zunächst im Rahmen von Beschäftigungsprogrammen und gemeinnützigen Projekten tätig. Dabei wurde er wegen seiner Zuverlässigkeit sehr geschätzt. Dass er bereits - kurz nach seiner Einreise - am 4. Juni 2004 den ersten Einsatz der Caritas zur Räumung und Instandstellung einer Asylbewerberunterkunft antrat, verdeutlicht den seit der Einreise bestehenden Willen zur Integration. In den Jahren 2005 bis 2008 wirkte er im Wohnkanton an schulischen Veranstaltungen zum Thema Gospelmusik und ihrer Herkunft mit. Ebenso wurde er als Referent zum Unterrichtsthema Beziehungen zwischen Europa und Afrika eingeladen. Daneben weist er Bestätigungen zu Basiskursen Modul I-III, PC und Büroarbeiten, Informatique et gestion d'entreprise, Kochkurs und Ausbildungskurs sowie Gesundheitsförderung der Caritas vor, an welchen er in den Jahren 2004 bis 2006 erfolgreich teilgenommen hat. Die Arbeitssuche gestaltete sich zunächst etwas schwierig, was nicht zuletzt auch durch seinen Aufenthaltsstatus bedingt war. Ab dem 25. Juni 2008 erlangte er eine unbefristete Anstellung als Hilfsarbeiter. Seither ist er finanziell unabhängig und seinen diesbezüglichen Verpflichtungen auch stets nachgekommen. Aus dem Zwischenzeugnis vom 22. Juni 2009 und der Arbeitsbestätigung vom 10. November 2011 geht hervor, dass er seine Aufgaben gewissenhaft und sorgfältig ausführe, das erworbene Wissen gezielt einsetzt und durch seine hilfsbereite und freundliche Art von Vorgesetzten sowie Mitarbeitern geachtet und geschätzt wird. Nicht zu Unrecht bemängelt die Vorinstanz, der Beschwerdeführer habe während der Zeit seiner beruflichen Tätigkeit weder Fach- oder Spezialkenntnisse erworben noch sich sonst weitergebildet. Diesbezüglich gilt es jedoch anzumerken, dass sich der Beschwerdeführer nachweislich an der Volkshochschule in der Deutschen und Schweizerdeutschen Sprache um Weiterbildung bemüht hat. Überdies blieb von der Vorinstanz unbeachtet, dass er im Zeitpunkt des Erlasses der Verfügung erst etwas mehr als ein Jahr arbeitete, weshalb die Anforderungen an den Erwerb weiterer Bildung herabzusetzen sind. Unberücksichtigt blieb zudem, dass er, bedingt durch die schwere Erkrankung seiner Lebensgefährtin, ausserhalb der Arbeitszeiten bereits genügend ausgelastet gewesen sein dürfte, um noch Zeit für weitere Kurse aufbringen zu können. Zudem wird im Bestätigungsschreiben vom 10. November 2011 festgehalten, dass sich der Beschwerdeführer innerhalb kurzer Zeit ein beachtliches Wissen angeeignet habe und er zu einem wichtigen Bestandteil der Konditorei geworden sei. Dies spricht für seinen Willen zur Teilhabe am Wirtschaftsleben und zum Erwerb von Bildung.</w:t>
      </w:r>
    </w:p>
    <w:p>
      <w:r>
        <w:rPr>
          <w:b/>
        </w:rPr>
        <w:t>E. 6.4</w:t>
      </w:r>
    </w:p>
    <w:p>
      <w:r>
        <w:t>Hinsichtlich seiner familiären Verhältnisse ist der Beschwerdeführer seit viereinhalb Jahren mit einer verwitweten Schweizer Bürgerin liiert. Seit September 2008 führen sie einen gemeinsamen Haushalt. Im April 2009 wurde bei der Lebenspartnerin ein Brustkrebs der rechten Seite diagnostiziert, welcher operative sowie chemotherapeutische Behandlungen erforderlich machte. Die Akten lassen erkennen, dass der Beschwerdeführer eine grosse Stütze für seine Lebenspartnerin ist, was die Vorinstanz auch so anerkannt hatte. Er betreut jene, übernimmt einen grossen Teil der Haushaltsarbeiten und ist ihr im Alltag eine Stütze. Dass er auch während dieser Zeit Integrationsbemühungen nachweisen kann, verdient vorliegend besondere Anerkennung. Der Beschwerdeführer bringt in seiner Replik vom 25. Januar 2010 vor, er könnte nun, nach Abschluss des Asylverfahrens in seiner Heimat das Scheidungsverfahren anheben. Es sei jedoch mit einer Verfahrensdauer von einem bis zwei Jahren zu rechnen. Obwohl inzwischen bereits zwei Jahre vergangen sind, wurden keine Unterlagen eingereicht, welche die Anhebung eines Verfahrens belegt hätten. Die tatsächlichen Absichten des Beschwerdeführers erscheinen in diesem Lichte etwas zweifelhaft, was das Bestehen von Heiratsabsichten mit der derzeitigen Lebenspartnerin in Frage stellt. Vor diesem Hintergrund sowie unter Berücksichtigung der bundesgerichtlichen Rechtsprechung (vgl. Urteil des Bundesgerichts 2C_25/2010 vom 2. November 2010) erscheint eine erfolgreiche Berufung auf Art. 8 EMRK fraglich. Dies bedeutet indessen nicht, dass die gelebte Beziehung bei der vorliegenden Beurteilung unberücksichtigt zu bleiben hat. Hinsichtlich der weiteren familiären Verhältnisse gibt der Beschwerdeführer mit Eingabe vom 25. November 2011 bekannt, dass die Mutter seiner jüngsten Tochter einen Schweizer Bürger geheiratet habe und die Tochter künftig in der Schweiz leben werde. Daraus kann er jedoch für das vorliegende Verfahren nichts zu seinen Gunsten ableiten, gab er doch in der Replik an, seine Tochter sei bei seinem Bruder aufgewachsen und wolle nicht bei ihm leben.</w:t>
      </w:r>
    </w:p>
    <w:p>
      <w:r>
        <w:rPr>
          <w:b/>
        </w:rPr>
        <w:t>E. 6.5</w:t>
      </w:r>
    </w:p>
    <w:p>
      <w:r>
        <w:t>Zu prüfen gilt es weiter, wie es sich mit einer allfälligen Wiedereingliederung im Herkunftsstaat verhält. Der Beschwerdeführer ist im Alter von 44 Jahren aus dem Kongo in die Schweiz gekommen. Er hat somit den grössten Teil seines Lebens, welcher für die Persönlichkeitsbildung und die Sozialisierung wichtige Phasen umfasst, in Kongo verbracht. Obwohl viele seiner nächsten Verwandten nicht mehr in der Heimat leben, besteht dennoch ein familiäres Beziehungsnetz (zwei Brüder sowie ein erwachsenes Kind), das ihm in sozialer Hinsicht Halt geben und ihn zumindest indirekt bei der Eingliederung in wirtschaftlicher Hinsicht unterstützen könnte. Zum Vorteil gereichen würden ihm ferner sein Hochschulabschluss, die langjährige Berufserfahrung in der Heimat sowie die in der Schweiz erworbenen Berufserfahrungen und Sprachkenntnisse. Dennoch ist davon auszugehen, dass es dem heute 51-jährigen nur mit erheblichem Aufwand möglich wäre, sich wieder einzugliedern und wirtschaftlich Fuss zu fassen.</w:t>
      </w:r>
    </w:p>
    <w:p>
      <w:r>
        <w:rPr>
          <w:b/>
        </w:rPr>
        <w:t>E. 6.6.1</w:t>
      </w:r>
    </w:p>
    <w:p>
      <w:r>
        <w:t>Schliesslich ist auf die gesundheitliche Situation des Beschwerdeführers einzugehen. Er macht geltend, an Diabetes mellitus zu leiden und täglich Medikamente zu nehmen. Es sei jederzeit möglich, dass sich die Blutzuckerwerte verschlechtern könnten und mit der Insulintherapie begonnen werden müsste. Zudem leidet er an Gichtarthritis.</w:t>
      </w:r>
    </w:p>
    <w:p>
      <w:r>
        <w:rPr>
          <w:b/>
        </w:rPr>
        <w:t>E. 6.6.2</w:t>
      </w:r>
    </w:p>
    <w:p>
      <w:r>
        <w:t>Der Gesundheitszustand stellt ein Kriterium dar, das in Verbindung mit anderen Elementen zur Anerkennung eines schwerwiegenden persönlichen Härtefalls nach Art. 14 Abs. 2 AsylG führen kann. Voraussetzung ist allerdings,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Bundesgerichts 2C_316/2011 vom 17. Oktober 2011 E. 3.3 und 2C_216/2009 vom 20. August 2009 E. 4.2</w:t>
      </w:r>
    </w:p>
    <w:p>
      <w:r>
        <w:rPr>
          <w:b/>
        </w:rPr>
        <w:t>E. 6.6.3</w:t>
      </w:r>
    </w:p>
    <w:p>
      <w:r>
        <w:t>Wie im Urteil des Bundesverwaltungsgerichts vom 15. Dezember 2009 betreffend Asyl und Wegweisung bereits festgehalten, besteht in Kinshasa die Möglichkeit, die gesundheitlichen Beschwerden angemessen behandeln zu lassen. Zudem ist der Gesundheitszustand des Beschwerdeführers in den vergangenen Jahren einigermassen stabil geblieben. Sollte eine Verschlechterung eintreten, könnte er in seiner Heimat die notwendige Insulintherapie beanspruchen. Der Gesundheitszustand steht somit unter dem Blickwinkel des schwerwiegenden persönlichen Härtefalles für sich alleine einer Rückkehr in den Heimatstaat nicht entgegen. Allerdings ist nicht von der Hand zu weisen, dass die gesundheitlichen Probleme eine gewisse Erschwernis darstellen würden, was im Kontext zu würdigen ist.</w:t>
      </w:r>
    </w:p>
    <w:p>
      <w:r>
        <w:rPr>
          <w:b/>
        </w:rPr>
        <w:t>E. 7</w:t>
      </w:r>
    </w:p>
    <w:p>
      <w:r>
        <w:t>Nach dem Gesagten kommt das Bundesverwaltungsgericht zum Schluss, dass das Vorliegen eines schwerwiegenden persönlichen Härtefalls in Anbetracht der im heutigen Zeitpunkt bereits weit fortgeschrittenen, guten wirtschaftlichen, sozialen und auch persönlichen Integration sowie der nachgewiesenen grossen Anstrengungen seit Beginn des Aufenthaltes, des überdurchschnittlichen sozialen Engagements sowie des menschlichen Beistands im privaten Bereich, insgesamt zu bejahen ist. Die angefochtene Verfügung erweist sich daher als bundesrechtswidrig (Art. 49 VwVG). Sie ist in Gutheissung der Beschwerde aufzuheben und die Zustimmung im Sinne von Art. 14 Abs. 2 AsylG ist zu erteilen.</w:t>
      </w:r>
    </w:p>
    <w:p>
      <w:r>
        <w:rPr>
          <w:b/>
        </w:rPr>
        <w:t>E. 8</w:t>
      </w:r>
    </w:p>
    <w:p>
      <w:r>
        <w:t>Für dieses Verfahren sind keine Kosten aufzuerlegen (Art. 63 Abs. 1 und 2 VwVG), womit die Gewährung der unentgeltlichen Prozessführung hinfällig wird. Weiter ist dem Beschwerdeführer zu Lasten der Vorinstanz für die ihm erwachsenen Kosten eine angemessene Parteientschädigung zuzusprechen (vgl. Art. 64 Abs. 1 VwVG). Es wurde keine Kostennote eingereicht, so dass das Gericht die Parteientschädigung aufgrund der Akten (vgl. Art. 14 des Reglements vom 21. Februar 2008 über die Kosten und Entschädigungen vor dem Bundesverwaltungsgericht [VGKE, SR 173.320.2]) festsetzt.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