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C-7234/2009 vom 4. Mai 2012</w:t>
      </w:r>
    </w:p>
    <w:p>
      <w:r>
        <w:t>Bundesverwaltungsgericht, 2012-05-04, DE</w:t>
      </w:r>
    </w:p>
    <w:p>
      <w:r>
        <w:rPr>
          <w:b/>
        </w:rPr>
        <w:t xml:space="preserve">Quelle: </w:t>
      </w:r>
      <w:r>
        <w:t>https://mcp.opencaselaw.ch/entscheid/bvger_C-7234_2009</w:t>
      </w:r>
    </w:p>
    <w:p>
      <w:r>
        <w:t>FR: TAF C-7234/2009 du 4 mai 2012</w:t>
      </w:r>
    </w:p>
    <w:p>
      <w:r>
        <w:t>IT: TAF C-7234/2009 del 4 maggio 2012</w:t>
      </w:r>
    </w:p>
    <w:p>
      <w:pPr>
        <w:pStyle w:val="Heading2"/>
      </w:pPr>
      <w:r>
        <w:t>Regeste</w:t>
      </w:r>
    </w:p>
    <w:p>
      <w:r>
        <w:t>Rente</w:t>
      </w:r>
    </w:p>
    <w:p>
      <w:pPr>
        <w:pStyle w:val="Heading2"/>
      </w:pPr>
      <w:r>
        <w:t>Erwägungen</w:t>
      </w:r>
    </w:p>
    <w:p>
      <w:r>
        <w:rPr>
          <w:b/>
        </w:rPr>
        <w:t>E. 1</w:t>
      </w:r>
    </w:p>
    <w:p>
      <w:r>
        <w:t>Angefochten ist der Einspracheentscheid der Vorinstanz vom 20. Oktober 2009, mit welchem das Gesuch der Beschwerdeführerin um Ausrichtung einer Rente der Schweizerischen Alters- und Hinterlassenversicherung abgewiesen wurde.</w:t>
      </w:r>
    </w:p>
    <w:p>
      <w:r>
        <w:rPr>
          <w:b/>
        </w:rPr>
        <w:t>E. 2.1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2.2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2.3</w:t>
      </w:r>
    </w:p>
    <w:p>
      <w:r>
        <w:t>Nach der Rechtsprechung stellt das Sozialversicherungsgericht bei der Beurteilung einer Streitsache in der Regel auf den bis zum Zeitpunkt des Erlasses der streitigen Verwaltungsverfügung (hier: Verfügung vom 20. Oktober 2009) eingetretenen Sachverhalt ab (BGE 129 V 1 E. 1.2 mit Hinweis). Weiter sind in zeitlicher Hinsicht grundsätzlich diejenigen Rechtssätze massgebend, die bei der Erfüllung des zu Rechtsfolgen führenden Tatbestandes Geltung hatten (BGE 130 V 329).</w:t>
      </w:r>
    </w:p>
    <w:p>
      <w:r>
        <w:rPr>
          <w:b/>
        </w:rPr>
        <w:t>E. 2.4</w:t>
      </w:r>
    </w:p>
    <w:p>
      <w:r>
        <w:t>Die Beschwerdeführerin ist durch den angefochtenen Einsprache­entscheid berührt und hat ein schutzwürdiges Interesse an dessen Aufhebung oder Änderung, so dass sie im Sinne von Art. 59 ATSG be­schwerdelegitimiert ist.</w:t>
      </w:r>
    </w:p>
    <w:p>
      <w:r>
        <w:rPr>
          <w:b/>
        </w:rPr>
        <w:t>E. 2.5</w:t>
      </w:r>
    </w:p>
    <w:p>
      <w:r>
        <w:t>Da die Beschwerde im Übrigen frist- und formgerecht (Art. 60 Abs. 1 ATSG und Art. 52 Abs. 1 VwVG) eingereicht wurde, ist auf die Beschwerde einzutreten. 3.1. Die Beschwerdeführerin sowie auch ihr verstorbener Ehemann sind kosovarische Staatsangehörige. Die Beschwerdeführerin hat zudem in Kosovo Wohnsitz. 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sind die mit Kroatien, Slowenien und Mazedonien neu abgeschlossenen Abkommen über Soziale Sicherheit in Kraft getreten; ein mit Serbien vereinbartes Abkommen ist noch nicht ratifiziert. Mit dem Kosovo wird das Abkommen Jugoslawien seit dem 1. April 2010 nicht mehr weitergeführt. Für Staatsangehörige des Kosovo, als kosovarisch-serbische Doppelbürger, ist jedoch das Abkommen Jugoslawien weiterhin anwendbar (vgl. Grundsatzurteil BVGer C-4828/2010 vom 7. März 2011 E. 5).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Mangels einer einschlägigen abkommensrechtlichen Regelung ist die Ausgestaltung des Verfahrens sowie die Prüfung der Anspruchsvoraussetzungen einer schweizerischen Hinterlassenenrente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 3.2. 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w:t>
      </w:r>
    </w:p>
    <w:p>
      <w:r>
        <w:t>Vorliegend ist strittig und vom Bundesverwaltungsgericht zu prüfen, ob die Vorinstanz zu Recht beim Ehemann der Beschwerdeführerin eine Beitragszeit von weniger als einem Jahr festgestellt und gestützt darauf der Beschwerdeführerin die Ausrichtung einer Hinterlassenenrente verweigert hat.</w:t>
      </w:r>
    </w:p>
    <w:p>
      <w:r>
        <w:rPr>
          <w:b/>
        </w:rPr>
        <w:t>E. 4.1</w:t>
      </w:r>
    </w:p>
    <w:p>
      <w:r>
        <w:t>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4.2</w:t>
      </w:r>
    </w:p>
    <w:p>
      <w:r>
        <w:t>Eine volles Beitragsjahr liegt vor, wenn die versicherte Person insgesamt länger als elf Monate im Sinne von Art. 1a oder 2 AHVG der Beitragspflicht unterstellt war und während dieser Zeit den Mindestbeitrag bezahlt hat oder Beitragszeiten im Sinne von Art. 29ter Abs. 2 Bst. b und c AHVG aufweist. Dabei richtet sich die Beitragsdauer eines Versicherten in der Regel nach den Einträgen in seinen individuellen Konten (Art. 30ter AHVG). Nach Art. 140 Abs. 1 Bst. d der Verordnung vom 31. Oktober 1947 über die Alters- und Hinterlassenenversicherung (AHVV, SR 831.101) muss im individuellen Konto das Beitragsjahr und die Beitragsdauer in Monaten eingetragen sein. Wird kein Kontoauszug verlangt, gegen einen erhaltenen Kontoauszug kein Einspruch erhoben oder ein erhobener Einspruch abgewiesen, so kann bei Eintritt des Versicherungsfalls die Berechtigung von Eintragungen nur verlangt werden, soweit deren Unrichtigkeit offenkundig ist oder der volle Beweis erbracht wird (Art. 141 Abs. 3 AHVV; vgl. auch BGE 130 V 335 E. 4.1; BGE 117 V 261 E. 3a).</w:t>
      </w:r>
    </w:p>
    <w:p>
      <w:r>
        <w:rPr>
          <w:b/>
        </w:rPr>
        <w:t>E. 4.3</w:t>
      </w:r>
    </w:p>
    <w:p>
      <w:r>
        <w:t>In den Akten lässt sich kein individueller Kontoauszug des verstorbenen Ehemannes finden. Die Vorinstanz führte dazu aus, gemäss ihren Nachforschungen im Versicherungsregister (Telezas 3) sei kein individuelles Konto auf den Namen des Ehegatten der Beschwerdeführerin eröffnet worden (Vorakten 66-68). Zudem würden die Angaben der Beschwerdeführerin nicht genügen, um die damaligen Arbeitgeber des Ehegatten der Beschwerdeführerin zu identifizieren. Deshalb sei die Vorinstanz nicht in der Lage gewesen, Nachforschungen bei den zuständigen Aus-gleichskassen vorzunehmen. Die Beschwerdeführerin habe im vorliegen-den Verfahren keine neuen Beweise vorbringen können, die es erlauben würden, die Einspracheverfügung zu revidieren.</w:t>
      </w:r>
    </w:p>
    <w:p>
      <w:r>
        <w:rPr>
          <w:b/>
        </w:rPr>
        <w:t>E. 4.4</w:t>
      </w:r>
    </w:p>
    <w:p>
      <w:r>
        <w:t>Demgegenüber machte die Beschwerdeführerin geltend, ihr Ehemann sei während 6 Saisons in der Schweiz erwerbstätig gewesen. Allerdings lassen sich aufgrund ihrer spärlichen Angaben und dem Fehlen von Unterlagen allfällige Arbeitgeber in der Schweiz nicht eruieren. Entsprechende Hinweise ergeben sich auch nicht aus den Akten des Bundesamtes für Migration. Vielmehr geht dort einzig hervor, dass der verstorbene Ehemann zusammen mit der Beschwerdeführerin und der gemeinsamen Tochter am 15. Mai 1999 in die Schweiz einreisten und am 2. August 1999 wieder in ihr Heimatland zurückkehrten. Ebenso wenig ergeben sich Hinweise auf eine Erwerbstätigkeit in der Schweiz aufgrund der Ergebnisse der Nachforschungen bei der Einwohnerkontrolle der Gemeinde Witterswil, bei den Migrationsämtern der Kantone Graubünden, Basel-Landschaft und Basel-Stadt. Vielmehr ist gestützt auf die vorhandenen Akten davon auszugehen, dass der verstorbene Ehegatte der Beschwerdeführerin nicht in der Schweiz gearbeitet und auch keine Versicherungsbeiträge bezahlt hat.</w:t>
      </w:r>
    </w:p>
    <w:p>
      <w:r>
        <w:rPr>
          <w:b/>
        </w:rPr>
        <w:t>E. 5</w:t>
      </w:r>
    </w:p>
    <w:p>
      <w:r>
        <w:t>Zusammenfassend ergibt sich, dass die Vorinstanz den Antrag der Beschwerdeführerin auf Gewährung einer Hinterlassenenrente wegen Nichterfüllens der Mindestbeitragszeit zu Recht abgewiesen hat, weshalb die Beschwerde abzuweisen und der angefochtene Einspracheentscheid vom 20. Oktober 2009 und damit die Verfügung der Vorinstanz vom 31. Juli 2009 zu bestätigen ist.</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