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C-722/2008 vom 13. Juni 2008</w:t>
      </w:r>
    </w:p>
    <w:p>
      <w:r>
        <w:t>Bundesverwaltungsgericht, 2008-06-13, FR</w:t>
      </w:r>
    </w:p>
    <w:p>
      <w:r>
        <w:rPr>
          <w:b/>
        </w:rPr>
        <w:t xml:space="preserve">Quelle: </w:t>
      </w:r>
      <w:r>
        <w:t>https://mcp.opencaselaw.ch/entscheid/bvger_C-722_2008</w:t>
      </w:r>
    </w:p>
    <w:p>
      <w:r>
        <w:t>FR: TAF C-722/2008 du 13 juin 2008</w:t>
      </w:r>
    </w:p>
    <w:p>
      <w:r>
        <w:t>IT: TAF C-722/2008 del 13 giugno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Y._______ a qualité pour recourir (cf. art. 48 al. 1 PA). Son recours, présenté dans la forme et les délais prescrits par la loi, est recevable (cf. art. 50 et 52 PA).</w:t>
      </w:r>
    </w:p>
    <w:p>
      <w:r>
        <w:rPr>
          <w:b/>
        </w:rPr>
        <w:t>E. 2</w:t>
      </w:r>
    </w:p>
    <w:p>
      <w:r>
        <w:t>Sous réserve de dispositions différentes, tout étranger doit être muni, pour entrer en Suisse, d'un passeport et d'un visa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3</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 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ll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4.3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4.4</w:t>
      </w:r>
    </w:p>
    <w:p>
      <w:r>
        <w:t>A ce sujet, il faut prendre en considération la qualité de vie et les conditions économiques difficiles que connaît l'ensemble de la population ukrainienne (inflation proche de 15% en 2007, déficit de la balance commerciale des biens et services, fragilités structurelles persistantes [source: site internet du Ministère français des affaires étrangères &gt; France-Diplomatie &gt; Pays-zones géo &gt; Ukraine &gt; Présentation de l'Ukraine &gt; économie; mise à jour: 18 février 2008]). Dès lors, ces conditions économiques difficiles ne sont pas sans exercer une pression migratoire importante, en particulier sur la population jeune, cette tendance étant encore renforcée, comme l'expérience l'a démontré, lorsque la personne concernée peut s'appuyer à l'étranger sur un réseau social (parents, amis) préexistant.</w:t>
      </w:r>
    </w:p>
    <w:p>
      <w:r>
        <w:rPr>
          <w:b/>
        </w:rPr>
        <w:t>E. 4.5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5</w:t>
      </w:r>
    </w:p>
    <w:p>
      <w:r>
        <w:t>En l'occurrence, il ressort de l'ensemble des pièces du dossier que X._______ est âgée de vingt-six ans, célibataire, sans charge de famille (cf. formulaire de demande de visa pour la Suisse), de sorte qu'il serait à même de se créer une nouvelle existence hors de l'Ukraine, sans que cela n'entraîne pour lui de difficultés sur le plan familial notamment. Même si l'invité possède de la famille et des amis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l'Ukraine, suffire toutefois, à eux seuls, à garantir le retour de l'intéressé dans cet Etat. Certes, l'intéressé a produit au cours de la procédure de recours une copie d'un livret de travail et d'une attestation de l'employeur, dans lequel il est indiqué qu'il exerce un emploi à plein temps de conducteur de locomotive au sein d'une société anonyme en Ukraine depuis le 14 novembre 2007. Au vu du contenu du livret précité, le Tribunal de céans ne saurait toutefois considérer que l'invité exerce actuellement une activité lucrative suffisamment stable pour l'inciter à retourner dans son pays d'origine, ce d'autant moins qu'il avait quitté son précédent emploi le 30 octobre 2007, soit six jours seulement après avoir déposé formellement une demande de visa auprès de l'Ambassade de Suisse à Kiev. De plus, selon les affirmations du recourant (cf. observations du 22 avril 2008), X._______ envisage de commencer des études d'informatique au mois de septembre 2008, ce qui démontre bien que ce dernier n'entend pas poursuivre son travail chez son employeur actuel. Dès lors, le requérant pourrait être tenté d'entreprendre de telles études en Suisse, où vivent sa soeur et son beau-frère, à l'échéance du visa sollicité, malgré les allégations quant à un retour en Ukraine faites dans son recours. Dans ce contexte, il ne faut pas perdre de vue que les conditions prévalant en Suisse, tant d'une manière générale qu'en ce qui concerne les possibilités d'étudier, sont sensiblement plus favorables que celles que connaissent actuellement les habitants d'Ukraine et que cette différence peut s'avérer décisive lorsqu'une personne prend la décision de quitter son pays.</w:t>
      </w:r>
    </w:p>
    <w:p>
      <w:r>
        <w:rPr>
          <w:b/>
        </w:rPr>
        <w:t>E. 6</w:t>
      </w:r>
    </w:p>
    <w:p>
      <w:r>
        <w:t>Cela étant, le désir exprimé par X._______, au demeurant parfaitement compréhensible, de venir en Suisse rendre visite à sa soeur et à son beau-frère ne constitue pas à lui seul un motif justifiant l'octroi d'un visa, à propos duquel il ne saurait au demeurant se prévaloir d'aucun droit (cf. ch.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ukrainiens)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Jurisprudence des autorités administratives de la Confédération [JAAC] 57.24) et ne suffisent pas.</w:t>
      </w:r>
    </w:p>
    <w:p>
      <w:r>
        <w:rPr>
          <w:b/>
        </w:rPr>
        <w:t>E. 8</w:t>
      </w:r>
    </w:p>
    <w:p>
      <w:r>
        <w:t>Par ailleurs, le recourant ne saurait tirer un quelconque avantage dans le cas d'espèce du fait que son invité a pu bénéficier d'un visa en 2006 pour venir lui rendre visite en Suisse. D'une part, la décision doit être prise en considération de la situation régnant au moment de statuer et, vu les considérants qui précèdent, il existe actuellement un risque que l'invité ne retourne pas dans son pays à l'échéance du visa sollicité. D'autre part, il est à noter qu'un tel risque était moindre à l'époque du visa octroyé en 2006, puisque X._______ n'avait pas changé d'emploi, ni fait part de ses projets d'études.</w:t>
      </w:r>
    </w:p>
    <w:p>
      <w:r>
        <w:rPr>
          <w:b/>
        </w:rPr>
        <w:t>E. 9</w:t>
      </w:r>
    </w:p>
    <w:p>
      <w:r>
        <w:t>Par surabondance, il convient encore de relever qu'un refus d'autorisation d'entrée en Suisse prononcé par les autorités helvétiques n'a pas en l'occurrence pour conséquence d'empêcher X._______ et sa soeur, ainsi que son beau-frère vivant en Suisse, de se voir, les intéressés pouvant tout aussi bien se rencontrer hors de Suisse, notamment en Ukraine, nonobstant les inconvénients d'ordre pratique ou de convenance personnelle que cela pourrait engendrer.</w:t>
      </w:r>
    </w:p>
    <w:p>
      <w:r>
        <w:rPr>
          <w:b/>
        </w:rPr>
        <w:t>E. 10</w:t>
      </w:r>
    </w:p>
    <w:p>
      <w:r>
        <w:t>Au vu de l'ensemble des circonstances, le TAF estime qu'il ne saurait être reproché à l'ODM d'avoir considéré que le départ de X._______ à l'échéance du visa requis n'était pas suffisamment assuré et, partant, d'avoir refusé la délivrance d'une autorisation d'entrée en Suisse en sa faveur.</w:t>
      </w:r>
    </w:p>
    <w:p>
      <w:r>
        <w:rPr>
          <w:b/>
        </w:rPr>
        <w:t>E. 11</w:t>
      </w:r>
    </w:p>
    <w:p>
      <w:r>
        <w:t>Compte tenu des considérants exposés ci-dessus, il appert que, par sa décision du 11 janvier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