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C-7225/2024 vom 20. Februar 2026</w:t>
      </w:r>
    </w:p>
    <w:p>
      <w:r>
        <w:t>Bundesverwaltungsgericht, 2026-02-20, DE</w:t>
      </w:r>
    </w:p>
    <w:p>
      <w:r>
        <w:rPr>
          <w:b/>
        </w:rPr>
        <w:t xml:space="preserve">Quelle: </w:t>
      </w:r>
      <w:r>
        <w:t>https://mcp.opencaselaw.ch/entscheid/bvger_C-7225_2024</w:t>
      </w:r>
    </w:p>
    <w:p>
      <w:r>
        <w:t>FR: TAF C-7225/2024 du 20 février 2026</w:t>
      </w:r>
    </w:p>
    <w:p>
      <w:r>
        <w:t>IT: TAF C-7225/2024 del 20 febbraio 2026</w:t>
      </w:r>
    </w:p>
    <w:p>
      <w:pPr>
        <w:pStyle w:val="Heading2"/>
      </w:pPr>
      <w:r>
        <w:t>Regeste</w:t>
      </w:r>
    </w:p>
    <w:p>
      <w:r>
        <w:t>Rente</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werden keine Parteientschädigungen zugesprochen.</w:t>
      </w:r>
    </w:p>
    <w:p>
      <w:r>
        <w:rPr>
          <w:b/>
        </w:rPr>
        <w:t>E. 4</w:t>
      </w:r>
    </w:p>
    <w:p>
      <w:r>
        <w:t>Dieser Entscheid geht an die Erben des Beschwerdeführers, die Vorinstanz und das Bundesamt für Sozialversicherungen. Die Einzelrichterin: Der Gerichtsschreiber: Viktoria Helfenstein Roger Stalder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