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C-7220/2010 vom 16. März 2012</w:t>
      </w:r>
    </w:p>
    <w:p>
      <w:r>
        <w:t>Bundesverwaltungsgericht, 2012-03-16, FR</w:t>
      </w:r>
    </w:p>
    <w:p>
      <w:r>
        <w:rPr>
          <w:b/>
        </w:rPr>
        <w:t xml:space="preserve">Quelle: </w:t>
      </w:r>
      <w:r>
        <w:t>https://mcp.opencaselaw.ch/entscheid/bvger_C-7220_2010</w:t>
      </w:r>
    </w:p>
    <w:p>
      <w:r>
        <w:t>FR: TAF C-7220/2010 du 16 mars 2012</w:t>
      </w:r>
    </w:p>
    <w:p>
      <w:r>
        <w:t>IT: TAF C-7220/2010 del 16 marzo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donc applicables à la présente cause, la demande de rente ayant été déposée en décembre 2009. Ne sont en revanche pas applicables les dispositions de la 6e révision de la LAI (premier volet) en vigueur dès le 1er janvier 2012 (RO 2011 5659, FF 2010 1647). En ce qui concerne les faits déterminants, selon la jurisprudence, le Tribunal de céans doit se limiter à examiner la situation de fait existant jusqu'à la date de la décision attaquée, soit jusqu'au 25 août 2010.</w:t>
      </w:r>
    </w:p>
    <w:p>
      <w:r>
        <w:rPr>
          <w:b/>
        </w:rPr>
        <w:t>E. 5</w:t>
      </w:r>
    </w:p>
    <w:p>
      <w:r>
        <w:t>Selon les normes applicables, tout requérant doit remplir cumulativement les conditions suivantes pour avoir droit à une rente de l'assurance invalidité suisse: - être invalide au sens de la LPGA/LAI et - avoir versé des cotisations à l'AVS/AI durant trois années au total (art. 36 LAI), dont au moins une en Suisse, auprès d'une assurance sociale assimilée d'une Etat membre de l'Union européenne (UE) ou de l'Association européenne de libre échange (AELE) (FF 2005 p. 4291; art. 45 du règlement 1408/71). En l'occurrence, la recourante a versé des cotisations AVS/AI de 1991 à 1999 (supra let. A), ainsi qu'en 2002 (cf. OAIE pce 6) et partant, remplit la condition liée à la durée minimale de cotisation. Il reste dès lors à examiner si elle peut être qualifiée d'invalide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6.5</w:t>
      </w:r>
    </w:p>
    <w:p>
      <w:r>
        <w:t>Concrètement, le Tribunal de céans peut ainsi se limiter à examiner si la recourante avait droit à une rente le 3 juin 2010 (6 mois après le dépôt de la demande) ou si le droit à une rente est né entre cette date et le 25 août 2010, date de la décision attaquée marquant la limite dans le temps du pouvoir d'examen de l'autorité de recours (ATF 130 V 445 consid. 1.2 et 1.2.1).</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w:t>
      </w:r>
    </w:p>
    <w:p>
      <w:r>
        <w:rPr>
          <w:b/>
        </w:rPr>
        <w:t>E. 7.2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w:t>
      </w:r>
    </w:p>
    <w:p>
      <w:r>
        <w:rPr>
          <w:b/>
        </w:rPr>
        <w:t>E. 7.3</w:t>
      </w:r>
    </w:p>
    <w:p>
      <w:r>
        <w:t>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7.4</w:t>
      </w:r>
    </w:p>
    <w:p>
      <w:r>
        <w:t>En l'espèce, l'autorité inférieure a retenu que l'éventuelle invalidité de l'assurée devait être déterminée selon la méthode spécifique. Elle peut être suivie sur ce point. Le Tribunal de céans constate en effet que la recourante a pu exercer son activité d'ouvrière en Suisse pendant presque 10 ans et a cessé dès le mois de janvier 2000 toute activité lucrative. Par la suite, elle s'est exclusivement consacrée à la tenue de son ménage et l'éducation de ses enfants. Bien que la recourante mentionne dans le questionnaire à l'assuré (OAIE pce 10) avoir cessé son activité professionnelle au début de l'année 2000 en raison de maladie, il ne ressort aucunement des rapports médicaux au dossier que celle-ci ait été déclarée en incapacité de travail à cette époque, ni qu'elle ait eu l'intention de reprendre une activité lucrative. Dès lors, l'autorité de céans considère que si l'atteinte à la santé n'était pas survenue, la recourante aurait poursuivi son activité ménagère et n'aurait pas repris d'activité lucrative, de sorte que son invalidité doit être évaluée dans le cadre de l'accomplissement des tâches domestiques, au moyen de la méthode spécifique.</w:t>
      </w:r>
    </w:p>
    <w:p>
      <w:r>
        <w:rPr>
          <w:b/>
        </w:rPr>
        <w:t>E. 8.1</w:t>
      </w:r>
    </w:p>
    <w:p>
      <w:r>
        <w:t>L'application de la méthode spécifique d'évaluation de l'invalidité nécessite que l'on compare les activités qu'une personne exerçait avant la survenance de son invalidité ou qu'elle exerçait sans elle, avec l'ensemble des tâches que l'on peut encore raisonnablement exiger d'elle, malgré l'invalidité. L'incapacité de travail correspondra alors à la diminution - attestée médicalement - du rendement fonctionnel dans l'accomplissement des travaux habituels.</w:t>
      </w:r>
    </w:p>
    <w:p>
      <w:r>
        <w:rPr>
          <w:b/>
        </w:rPr>
        <w:t>E. 8.2</w:t>
      </w:r>
    </w:p>
    <w:p>
      <w:r>
        <w:t>La détermination du taux d'invalidité de l'assuré qui assume des tâches ménagères résulte généralement d'une enquête ménagère menée sur place (art. 69 RAI) par une personne qualifiée laquelle constitue en principe une base appropriée et en règle générale suffisante pour apprécier et quantifier les limitations fonctionnelles (arrêt du Tribunal fédéral I 249/04 du 6 septembre 2004 consid. 5.1.1). L'appréciation des domaines partiels de la gestion du ménage intervient sur la base d'un tableau établi par l'Office fédéral des assurances sociales dont l'usage est obligatoire pour déterminer l'invalidité dans les tâches ménagères (Valtério, Droit de l'assurance-vieillesse et survivants (AVS) et de l'assurance-invalidité (AI), Berne 2011, n°2165). Malgré qu'une telle enquête ne soit en principe pas réalisée auprès des assurés résidant à l'étranger, l'appréciation de l'incapacité de l'assuré dans l'accomplissement des travaux habituels doit néanmoins, dans la mesure du possible, se fonder sur des principes analogues.</w:t>
      </w:r>
    </w:p>
    <w:p>
      <w:r>
        <w:rPr>
          <w:b/>
        </w:rPr>
        <w:t>E. 8.3</w:t>
      </w:r>
    </w:p>
    <w:p>
      <w:r>
        <w:t>En raison de circonstances liées au domicile à l'étranger d'un assuré, l'évaluation de l'invalidité dans les travaux habituels peut être effectuée avec le concours d'un médecin et non d'un enquêteur qualifié. Encore faut-il que celui-ci se détermine de manière circonstanciée et détaillée sur les limitations alléguées par l'assuré. Son résultat aboutit à une évaluation qui doit être appréciée par l'administration (et en cas de recours par le juge) à la lumière des conclusions du médecin relatives à l'incapacité de travail dans l'accomplissement des tâches ménagère (Valtério, op. cit., n°2159 et 2160).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du Tribunal fédéral I 733/06 du 21 mars 2007, consid. 4.2).</w:t>
      </w:r>
    </w:p>
    <w:p>
      <w:r>
        <w:rPr>
          <w:b/>
        </w:rPr>
        <w:t>E. 8.4</w:t>
      </w:r>
    </w:p>
    <w:p>
      <w:r>
        <w:t>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V394 consid. 4b p. 400, ATF 115 V 38 consid. 3d, ATF 114 V 281 consid. 3, ATF 111 V 235 consid. 2a). Le fait que l'assuré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w:t>
      </w:r>
    </w:p>
    <w:p>
      <w:r>
        <w:rPr>
          <w:b/>
        </w:rPr>
        <w:t>E. 9.1</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9.2</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Conformément au principe inquisitoire qui régit la procédure dans le domaine des assurances sociales (art. 43 LPGA), l'administration est notamment tenue de prendre d'office les mesures d'instruction nécessaire et de recueillir les renseignements dont elle a besoin. En particulier, elle doit mettre en oeuvre une expertise lorsqu'il apparaît nécessaire de clarifier les aspects médicaux du cas (ATF 117 V 282).</w:t>
      </w:r>
    </w:p>
    <w:p>
      <w:r>
        <w:rPr>
          <w:b/>
        </w:rPr>
        <w:t>E. 9.3</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En l'espèce, il est établi que la recourante souffre principalement de polyarthralgies sur troubles dégénératifs simples allant en s'aggravant depuis 1999, notamment de lombalgies, de discopathie dégénérative au niveau L4/L5, d'ostéochondrose en L4/L5, de spondylose vertébrale avec hernie discale en L2/L3 et en L4/L5. Par ailleurs, les différents médecins s'accordent également pour reconnaître à la recourante une arthrose modérée au niveau du coude gauche, des altérations dégénératives modérées des articulations coxo-fémorales et sacro-iliaques, ainsi qu'une ténosynovite active de l'épaule droite, une tendinite au niveau de l'épaule gauche et une épocondylite du coude droit (OAIE pces 22a, 21, 24, 26, 30, 33, 34, 39, 44 et TAF pces 1). Par ailleurs, la recourante souffre de manière non invalidante d'un status après opération de syndrome du tunnel carpien à droite en 2000, d'un status après cholécystectomie en 2002 et après opération de varices en 2006 (OAIE pces 11, 17 et 20). Il ressort également que l'intéressée a été suivie pour dépression depuis 2003 par le Dr L.________ (OAIE pces 16 et 20) et traitée par antidépresseurs et somnifères. Au moment de la demande de rente, il n'est plus fait mention d'un suivi psychiatrique, toutefois, il ressort du rapport E 213 (OAIE pce 22a) que celle-ci présente une anxiété marquée traitée par voie médicamenteuse et une mauvaise orientation dans le temps et l'espace.</w:t>
      </w:r>
    </w:p>
    <w:p>
      <w:r>
        <w:rPr>
          <w:b/>
        </w:rPr>
        <w:t>E. 10.2</w:t>
      </w:r>
    </w:p>
    <w:p>
      <w:r>
        <w:t>Le Tribunal relève également qu'à plusieurs reprises, les diagnostics de trouble somatoforme douloureux et de fibromyalgie ont été évoqués, à savoir par le Dr F.________, rhumatologue, dans son rapport médical du 10 octobre 2001 (OAIE pce 13) et le Dr H.________, neurochirurgien, dans son rapport médical du 20 septembre 2002 (OAIE pce 16). Néanmoins, ce diagnostic n'a plus été mentionné depuis par les médecins consultés.</w:t>
      </w:r>
    </w:p>
    <w:p>
      <w:r>
        <w:rPr>
          <w:b/>
        </w:rPr>
        <w:t>E. 11.1</w:t>
      </w:r>
    </w:p>
    <w:p>
      <w:r>
        <w:t>S'agissant de l'influence de ces pathologies sur la capacité de la recourante à accomplir ses travaux habituels, il ressort notamment du questionnaire pour assurés travaillant dans le ménage du 19 février 2010 qu'elle reste capable de conduire, de préparer les repas et de faire la vaisselle (avec à disposition un lave-vaisselle). L'assurée réfère qu'elle recourt, pour l'entretien du ménage ou pour d'autres tâches, à l'aide des membres de sa famille à hauteur de 16 heures par semaine et qu'elle est incapable d'effectuer des travaux de nettoyage, ni de faire les courses, la lessive, ou encore de suspendre, de repasser et de raccommoder le linge. L'autorité de céans constate que les informations fournies par la recourante dans le questionnaire du 19 février 2010 sont crédibles au vu des pathologies dont elle souffre, de sorte qu'il convient d'en tenir compte. Toutefois, attendu qu'elles proviennent de l'assurée elle-même et non pas d'une personne extérieure chargée d'une enquête ménagère, il y a lieu d'examiner également sur la base de la documentation médicale versée au dossier dans quelle mesure l'assurée subit une diminution de sa capacité de travail dans l'accomplissement des tâches domestiques.</w:t>
      </w:r>
    </w:p>
    <w:p>
      <w:r>
        <w:rPr>
          <w:b/>
        </w:rPr>
        <w:t>E. 11.2</w:t>
      </w:r>
    </w:p>
    <w:p>
      <w:r>
        <w:t>Selon le rapport E 213 du 7 octobre 2009 (OAIE pce 22a), la recourante est capable d'exercer à temps complet des activités légères de substitution, bien qu'elle soit totalement incapable d'exercer son ancienne activité d'ouvrière d'usine. Le médecin de l'INSS constate à l'examen clinique uniquement une limitation de la flexion antérieure du tronc et des palpations douloureuses, ainsi qu'une mobilité douloureuse du coude gauche, sans pour autant relever de difficulté à la marche ou aucunes autres limitations fonctionnelles. Eu égard à la capacité de travail résiduelle de la recourante, le Tribunal remarque que l'OAIE, ne retenant aucunes limitations fonctionnelles, considère l'intéressée totalement capable de tenir son ménage (OAIE pce 26), estimant que les limitations mentionnées par la recourante ne correspondent pas aux constatations cliniques ressortant du dossier, notamment du rapport E 213. Un rapport médical du 12 décembre 2006 de l'ancien médecin traitant de l'assurée, le Dr K.________, est également cité par le médecin de l'OAIE (OAIE pce 20), toutefois, il sied de mentionner à ce propos qu'il n'est pas relevant, car par trop ancien et lacunaire.</w:t>
      </w:r>
    </w:p>
    <w:p>
      <w:r>
        <w:rPr>
          <w:b/>
        </w:rPr>
        <w:t>E. 11.3</w:t>
      </w:r>
    </w:p>
    <w:p>
      <w:r>
        <w:t>En outre, l'évaluation de la capacité de l'assurée à exercer ses tâches ménagères effectuée par le service médical de l'OAIE n'est nullement corroborée par les avis des médecins portugais s'étant exprimés en la matière. En effet, la recourante, avance être incapable d'effectuer ses tâches ménagères ou de travailler à plus de 66%. Elle mentionne devoir se déplacer avec des béquilles et produit plusieurs rapports médicaux attestant ses dires. Il ressort tout d'abord d'un rapport médical du 24 mai 2010 du Dr M.________, médecin traitant généraliste, que l'état de santé de la recourante s'est aggravé au niveau ostéo-articulaire l'obligeant à se déplacer à l'aide de béquilles et l'empêchant de reprendre des activités domestiques (OAIE pce 39). Ensuite, selon un rapport médical du 22 février 2010 (OAIE pce 21), établi par ce même médecin, il apparaît que les multiples pathologies ostéo-articulaires dégénératives dont souffre la recourante se sont aggravées depuis environ trois ans et que la présence de lombalgies chroniques avec irradiation des membres inférieurs provoque une difficulté à la marche aggravée par des coxalgies et des gonalgies bilatérales (cf. également les résultats de scintigraphie du 9 février 2009; TAF pce 1).</w:t>
      </w:r>
    </w:p>
    <w:p>
      <w:r>
        <w:rPr>
          <w:b/>
        </w:rPr>
        <w:t>E. 11.4</w:t>
      </w:r>
    </w:p>
    <w:p>
      <w:r>
        <w:t>Force est ainsi au Tribunal de constater des divergences significatives entre l'appréciation des médecins de l'OAIE, reprenant les conclusions du formulaire E 213 (OAIE pces 26, 44 et 47) et celle du médecin traitant de la recourante concernant ses limitations fonctionnelles et sa capacité à exercer ses tâches ménagères. Certes, selon la jurisprudence, le juge doit tenir compte du fait que le médecin traitant est généralement enclin, en cas de doute, à prendre parti pour son patient en raison de la relation de confiance qui l'unit à ce dernier (ATF 125 V 353, consid. 3b/cc et la réf. cit.; Ulrich Meyer-Blaser, Bundesgesetz über Invalidenversicherung, in: Rechtsprechung des Bundesgerichts zum Sozialversicherungsrecht, Zurich 1997, p. 230). Toutefois, le Tribunal ne saurait sans autre méconnaitre toute valeur probante aux rapports du Dr M.________, indiquant une aggravation de l'état de santé de la recourante par rapport aux constatations antérieures du médecin de l'INSS dans son rapport E 213. Eu égard au fait que les constatations du médecin traitant rejoignent non seulement les déclarations de l'assurée révélant de graves difficultés à la marche (déplacement uniquement à l'aide de béquilles), mais sont également corroborées par les résultats de la scintigraphie effectuée le 9 février 2009.</w:t>
      </w:r>
    </w:p>
    <w:p>
      <w:r>
        <w:rPr>
          <w:b/>
        </w:rPr>
        <w:t>E. 11.5</w:t>
      </w:r>
    </w:p>
    <w:p>
      <w:r>
        <w:t>De plus, dans une procédure portant sur l'octroi ou le refus de prestations d'assurances sociales, le Tribunal fédéral a récemment précisé que lorsqu'une décision administrative s'appuie en grande partie, voire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11.6</w:t>
      </w:r>
    </w:p>
    <w:p>
      <w:r>
        <w:t>Dès lors, il apparaît que l'appréciation Drs N.________ et D.________, médecins non spécialisés, consistant à ne retenir aucunes limitations de la recourante dans l'exécution de ses tâches ménagères ne saurait sans autre être suivie par le Tribunal de céans (cf. supra consid. 8.3).</w:t>
      </w:r>
    </w:p>
    <w:p>
      <w:r>
        <w:rPr>
          <w:b/>
        </w:rPr>
        <w:t>E. 12</w:t>
      </w:r>
    </w:p>
    <w:p>
      <w:r>
        <w:t>Eu égard à tout ce qui précède, le Tribunal estime qu'une expertise rhumatologique et neurologique est nécessaire dans le cas d'espèce, afin de déterminer quelles sont les limitations fonctionnelles exactes de la recourante et dans quelle mesure celle-ci reste capable d'effectuer ses tâches ménagères. Par ailleurs au vu des diagnostics posés par les Drs F.________ et H.________ (cf. supra consid. 10), il sied également de clarifier si les troubles de la recourante peuvent être qualifiés de troubles somatoformes douloureux ou de fibromyalgie par une expertise psychiatrique. Dès lors, l'autorité inférieure ayant établi les faits de manière insuffisante dans la présente affaire, il se justifie, en application de l'art. 61 PA (ATF 137 V 219, consid. 4.4.1.4), de renvoyer la cause à l'OAIE pour instruction complémentaire, afin qu'une expertise rhumatologique, neurologique et psychiatrique soit effectuée, comportant entre autre une analyse détaillée des limitations fonctionnelles de la recourante, afin de déterminer sa capacité à exécuter ses activités ménagères conformément aux exigences jurisprudentielles.</w:t>
      </w:r>
    </w:p>
    <w:p>
      <w:r>
        <w:rPr>
          <w:b/>
        </w:rPr>
        <w:t>E. 13</w:t>
      </w:r>
    </w:p>
    <w:p>
      <w:r>
        <w:t>Selon la jurisprudence, la partie qui a formé recours est réputée avoir obtenu gain de cause lorsque l'affaire est renvoyée à l'administration pour instruction complémentaire et nouvelle décision (ATF 132 V 215 consid. 6.2). La recourante ayant eu partiellement gain de cause, il n'est pas perçu de frais de procédure (art. 63 al. 2 PA, applicable par le renvoi de l'art. 37 LTAF). L'avance de frais de Fr. 400.--, versée le 24 février 2011, sera remboursée à la recourante dès l'entrée en force du présent arrêt. L'art. 7 al. 1 du règlement du 21 février 2008 concernant les frais, dépens et indemnités fixés par le Tribunal administratif fédéral (FITAF, RS 173.320.2) permet cependant au Tribunal d'allouer à la partie ayant obtenu gain de cause une indemnité pour les frais nécessaires causés par le litige. En l'espèce, la recourante, qui n'est pas représentée,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