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C-7219/2010 vom 16. September 2012</w:t>
      </w:r>
    </w:p>
    <w:p>
      <w:r>
        <w:t>Bundesverwaltungsgericht, 2012-09-16, FR</w:t>
      </w:r>
    </w:p>
    <w:p>
      <w:r>
        <w:rPr>
          <w:b/>
        </w:rPr>
        <w:t xml:space="preserve">Quelle: </w:t>
      </w:r>
      <w:r>
        <w:t>https://mcp.opencaselaw.ch/entscheid/bvger_C-7219_2010</w:t>
      </w:r>
    </w:p>
    <w:p>
      <w:r>
        <w:t>FR: TAF C-7219/2010 du 16 septembre 2012</w:t>
      </w:r>
    </w:p>
    <w:p>
      <w:r>
        <w:t>IT: TAF C-7219/2010 del 16 settembre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1er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en temps utile et dans les formes requises par la loi (art. 60 al. 1 LPGA et 52 PA). En l'espèce, étant donné que ces conditions sont remplies et que l'avance sur les frais de procédure a été dûment acquittée, le recours est recevable.</w:t>
      </w:r>
    </w:p>
    <w:p>
      <w:r>
        <w:rPr>
          <w:b/>
        </w:rPr>
        <w:t>E. 2.1</w:t>
      </w:r>
    </w:p>
    <w:p>
      <w:r>
        <w:t>La recourante est citoyennne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Les dispositions de la 4ème révision de la LAI, entrées en vigueur le 1er janvier 2004, et de la 5ème révision entrée en vigueur le 1er janvier 2008 sont ainsi applicables. En ce qui concerne les faits déterminants, selon la jurisprudence, le Tribunal de céans doit se limiter à examiner la situation de fait existant jusqu'à la date de la décision attaquée (ATF 129 V 1 consid. 2.1 avec les réf.).</w:t>
      </w:r>
    </w:p>
    <w:p>
      <w:r>
        <w:rPr>
          <w:b/>
        </w:rPr>
        <w:t>E. 4</w:t>
      </w:r>
    </w:p>
    <w:p>
      <w:r>
        <w:t>La recourante conteste le bien-fondé de la décision de l'OAIE, du 1er septembre 2010, remplaçant sa rente entière par trois quarts de rente avec effet au 1er mai 2005, et revendique son droit de continuer à percevoir ladite rente également au-delà de cette date.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 l'ALCP, les ressortissants d'un État de la Communauté européenne qui présentent un degré d'invalidité de 40% au moins, ont droit à un quart de rente en application de l'art. 28 al. 2 LAI s'ils ont leur domicile et leur résidence habituelle dans un État membre.</w:t>
      </w:r>
    </w:p>
    <w:p>
      <w:r>
        <w:rPr>
          <w:b/>
        </w:rPr>
        <w:t>E. 5.3</w:t>
      </w:r>
    </w:p>
    <w:p>
      <w:r>
        <w:t>Conformément à la lettre f des Dispositions finales de la modification du 21 mars 2003 (4ème révision de l'AI) entrée en vigueur le 1er janvier 2004, les rentes entières en cours perçues au titre d'un taux d'invalidité égal ou supérieur à 662/3% ont continué d'être versées après l'entrée en vigueur de la modification intervenue à tous les rentiers qui, à ce moment là, avaient atteint l'âge de 50 ans. Toutes les autres rentes entières perçues au titre d'une invalidité inférieure à 70% ont fait l'objet d'une révision dans le délai d'un an dès l'entrée en vigueur de la présente modification</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la recourante a été mise au bénéfice d'une rente entière d'invalidité par décision de l'OAI-FR, du 27 septembre 2000 (pce 152), entrée en force. Le 12 février 2004, l'OAIE a initié une procédure de révision, en application des dispositions finales de la 4ème révision de la LAI, laquelle s'est conclue par une décision du 17 mars 2005 (pce 190), réduisant la rente entière à trois quarts de rente. Elle a été l'objet d'abord d'une opposition, puis d'un recours, partiellement admis par arrêt du Tribunal administratif fédéral, du 6 avril 2009 (pce 290), qui a annulé la décision sur opposition attaquée et renvoyé la cause à l'OAIE pour un complément d'instruction. Après avoir mis en oeuvre les éclaircissements médicaux nécessaires et procédé au calcul du degré d'invalidité, l'OAIE a émis une décision, le 1er septembre 2010 (pce 331), qui a confirmé la substitution de la rente entière par trois quarts de rente. Il s'ensuit que la période déterminante pour établir s'il y a eu une modification notable de l'état de santé de la recourante, s'étend du 27 septembre 2000 au 1er septembre 2010.</w:t>
      </w:r>
    </w:p>
    <w:p>
      <w:r>
        <w:rPr>
          <w:b/>
        </w:rPr>
        <w:t>E. 7.1</w:t>
      </w:r>
    </w:p>
    <w:p>
      <w:r>
        <w:t>La notion d'invalidité, dont il est question à l'art. 8 LPGA et à l'art. 4 LAI, est de nature économique / 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 En l'espèce, étant donné que la recourante ne travaille plus depuis des années, il y a lieu d'examiner l'ensemble des documents médicaux au dossier pour élucider la question du degré d'invalidité.</w:t>
      </w:r>
    </w:p>
    <w:p>
      <w:r>
        <w:rPr>
          <w:b/>
        </w:rPr>
        <w:t>E. 8</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(cf.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U_365/06 du 26 janvier 2007 consid. 4.1).</w:t>
      </w:r>
    </w:p>
    <w:p>
      <w:r>
        <w:rPr>
          <w:b/>
        </w:rPr>
        <w:t>E. 9</w:t>
      </w:r>
    </w:p>
    <w:p>
      <w:r>
        <w:t>En l'espèce, l'ensemble de la documentation médicale au dossier et, spécialement, les rapports d'expertises du ..., des 19 mai 2000 et 28 février 2006 (pces 130 et 241), les différentes prises de position de la Drsse E._______, médecin de l'OAIE, en particulier celles des 28 juillet 2005, 9 mai 2006, 24 juin et 19 août 2010, et 19 mai 2011 (pces 214, 246, 319, 329 et 333), ainsi que le rapport d'expertise médicale détaillée E 213 de la Drsse F._______, médecin de l'ISS, du 19 janvier 2010 (pce 315), révèle les diagnostics de trouble somatoforme douloureux chronique sous forme de fibromyalgie, trouble mixte de la personnalité avec composante histrionique et narcissique, réaction dépressive mixte d'intensité modérée à sévère, hypothyroïdie substituée, hypoacousie relative à droite, myopie grave plus marquée à droite, abaissement du fer sérique sans anémie, présence de facteurs anti-nucléaires positifs depuis 1995, sans signes cliniques, et suspicion de myasthénie débutante, non confirmée en l'absence de ptose. Outre ces éléments diagnostics, il ressort également du dossier l'existence d'un syndrome d'hyperlaxité ligamentaire, d'une dysfonction de l'articulation temporo-mandibulaire, d'une réaction sérologique positive à la brucellose, de problèmes dégénératifs, d'une épicondylite bilatérale et de troubles dégénératifs cervicaux, lesquels n'ont toutefois pas d'influence sur la capacité de travail, comme cela a été clairement exposé par la Drsse E._______ dans sa prise de position du 19 août 2010 (pce 329). Eu égard à l'état du dossier, le Tribunal de céans ne voit de raisons pour mettre en doute ni les diagnostics retenus par les différents médecins ayant pris position sur le cas, ni l'avis de la Drsse E._______, du 19 août 2010.</w:t>
      </w:r>
    </w:p>
    <w:p>
      <w:r>
        <w:rPr>
          <w:b/>
        </w:rPr>
        <w:t>E. 10.1</w:t>
      </w:r>
    </w:p>
    <w:p>
      <w:r>
        <w:t>Par rapport à l'ampleur des conséquences invalidantes des pathologies influant sur la capacité de travail, les experts du ... avaient fixé, dans leur rapport du 28 février 2006, qui reflète pour l'essentiel celui du 19 mai 2000 (pce 130), une capacité résiduelle de travail, en raison de la chronicité des symptômes et de l'épuisement des ressources adaptatives, de 40% pour toute activité adaptée, n'impliquant pas la position statique assise et debout, l'appui monopodal, les mouvements de torsion du tronc, les déplacements en position courbée, le port de charges de plus de 10 kg, et de 5 kg si répétitif, avec un périmètre de marche, total ou cumulé, limité à moins de 1000 mètres, les travaux lourds et le rendement forcé étant contre-indiqués.</w:t>
      </w:r>
    </w:p>
    <w:p>
      <w:r>
        <w:rPr>
          <w:b/>
        </w:rPr>
        <w:t>E. 10.2</w:t>
      </w:r>
    </w:p>
    <w:p>
      <w:r>
        <w:t>Lors de l'instruction complémentaire à la suite de l'arrêt du 6 avril 2009 (pce 290), la Drsse F._______ a considéré, dans son rapport d'expertise médicale détaillé E 213, du 19 janvier 2010, après avoir précisé que l'évolution progressive des affections n'avait pas de répercussions importantes sur l'état de santé, que la recourante peut toujours exercer régulièrement, à plein temps, des activités adaptées légères à moyennes, mais pas son ancienne occupation d'auxiliaire médicale, évaluant en définitive une incapacité de travail inférieure à 30%. Il sied encore de relever que les autres rapports acquis pendant l'instruction complémentaire, ne se prononcent pas sur la question de la capacité de travail (pces 311 et 314), ou se limitent à affirmer que l'incapacité de travail continue de subsister.</w:t>
      </w:r>
    </w:p>
    <w:p>
      <w:r>
        <w:rPr>
          <w:b/>
        </w:rPr>
        <w:t>E. 10.3</w:t>
      </w:r>
    </w:p>
    <w:p>
      <w:r>
        <w:t>De son côté, dans le cadre de l'instruction complémentaire et de la présente procédure, la Drsse E._______ a pris position à trois reprises, les 24 juin et 10 août 2010, de même que le 19 mai 2011, sur le cas, mettant en évidence le fait que l'état de santé de la recourante est resté stationnaire, que les plaintes et les signes cliniques ne présentent pas de changement notable et que, dès lors, il n'y a pas d'arguments en faveur d'une aggravation de l'état de santé qui pourraient mettre en doute la capacité de travail résiduelle de 40% pour des activités adaptées, comme le ... avait constaté, une première fois, dans son rapport d'expertise du 19 mai 2000, et confirmé dans son deuxième rapport d'expertise du 28 février 2006.</w:t>
      </w:r>
    </w:p>
    <w:p>
      <w:r>
        <w:rPr>
          <w:b/>
        </w:rPr>
        <w:t>E. 10.4</w:t>
      </w:r>
    </w:p>
    <w:p>
      <w:r>
        <w:t>Dès lors, au vu ce qui précède, le Tribunal de céans ne peut que reconnaître que l'état de santé de la recourante est resté stable pendant la période s'étendant du 27 septembre 2000 au 1er septembre 2010, et que sa capacité de travail résiduelle s'élève à 40% dans des activités adaptées, comme établi par le ..., à deux reprises, et par la Drsse E._______. Cela dit, les preuves figurant au dossier, constituées essentiellement de pièces médicales, permettent de se convaincre que l'état de fait est établi de manière satisfaisante, au degré de la vraisemblance prépondérante, sans qu'il soit nécessaire de procéder à la mise en oeuvre d'une nouvelle expertise médicale, comme le requiert la recourante. En effet, selon la jurisprudence,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11.1</w:t>
      </w:r>
    </w:p>
    <w:p>
      <w:r>
        <w:t>Comme déjà souligné au consid. 7.1,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l'espèce, en exécution de l'arrêt du 6 avril 2009, l'OAIE a réalisé un nouveau calcul du degré d'invalidité, le 13 juillet 2009 (pce 292), considérant un revenu sans invalidité de Fr. 42'392.- en 1996, selon un extrait du compte individuel de l'assurée (pce 2), indexé sur l'indice de l'OFS des salaires nominaux des femmes en 2006, soit Fr. 49'956.83.- ou Fr. 4'163.07 par mois, valeur plus favorable que celle de Fr. 4'059.04 relative à l'activité d'employée de maison (80%) et d'esthéticienne (20%), et un revenu avec invalidité, conformément aux données statistiques de l'OFS, dans des activités de substitution comme dame de buffet ou vendeuse en boulangerie, de Fr. 3'90.64 par mois en 2006, sous déduction de 10% pour activité légère et en raison de 40% (capacité de travail résiduelle), soit Fr. 1'404.23.-. En comparant les deux salaires ainsi déterminés, l'OAIE a établi une perte de gain de 66.27%, équivalent à un degré d'invalidité de 66%. Ce calcul a été exécuté correctement par l'OAIE et le Tribunal de céans ne peut dès lors qu'en relever le bien-fondé.</w:t>
      </w:r>
    </w:p>
    <w:p>
      <w:r>
        <w:rPr>
          <w:b/>
        </w:rPr>
        <w:t>E. 11.2</w:t>
      </w:r>
    </w:p>
    <w:p>
      <w:r>
        <w:t>Vu ce qui précède, c'est à juste titre que l'OAIE, par décision du 1er septembre 2010, a confirmé le droit de la recourante à trois quarts de rente depuis le 1er mai 2005, conformément aux dispositions finales de la 4ème révision de la LAI. A ce propos, il convient de rappeler que si une réduction ou une suppression de rente ne peut pas avoir d'effet rétroactif, elle peut bien être confirmée rétroactivement (cf. jugement du Tribunal fédéral 8C_567/2011, 8C_616/2011 du 3 janvier 2012 consid. 3.2 et jurisprudence citée).</w:t>
      </w:r>
    </w:p>
    <w:p>
      <w:r>
        <w:rPr>
          <w:b/>
        </w:rPr>
        <w:t>E. 12</w:t>
      </w:r>
    </w:p>
    <w:p>
      <w:r>
        <w:t>Par conséquent, le recours doit être rejeté et la décision entreprise confirmée.</w:t>
      </w:r>
    </w:p>
    <w:p>
      <w:r>
        <w:rPr>
          <w:b/>
        </w:rPr>
        <w:t>E. 13</w:t>
      </w:r>
    </w:p>
    <w:p>
      <w:r>
        <w:t>Vu l'issue de la procédure, les frais de celle-ci, fixés à Fr. 400.-, sont mis à la charge de la recourante (art. 63 al. 1 PA, applicable par le truchement de l'art. 37 LTAF) et compensés par l'avance de frais du même montant, effectuée le 16 juin 2011. Il n'est pas alloué de frais de dépens (art. 7 al. 1 a contrario et 3 du règlement du 21 février 2008 concernant les frais, dépens et indemnités fixés par la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