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C-7213/2007 vom 16. Oktober 2009</w:t>
      </w:r>
    </w:p>
    <w:p>
      <w:r>
        <w:t>Bundesverwaltungsgericht, 2009-10-16, IT</w:t>
      </w:r>
    </w:p>
    <w:p>
      <w:r>
        <w:rPr>
          <w:b/>
        </w:rPr>
        <w:t xml:space="preserve">Quelle: </w:t>
      </w:r>
      <w:r>
        <w:t>https://mcp.opencaselaw.ch/entscheid/bvger_C-7213_2007</w:t>
      </w:r>
    </w:p>
    <w:p>
      <w:r>
        <w:t>FR: TAF C-7213/2007 du 16 octobre 2009</w:t>
      </w:r>
    </w:p>
    <w:p>
      <w:r>
        <w:t>IT: TAF C-7213/2007 del 16 ottobre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 (UAIE).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5.5</w:t>
      </w:r>
    </w:p>
    <w:p>
      <w:r>
        <w:t>Peraltro, in deroga all'art. 24 LPGA, l'art. 48 cpv. 2 LAI precisa che, se l'assicurato si annuncia più di dodici mesi dopo la nascita del diritto ad una rendita dell'assicurazione invalidità, le prestazioni sono assegnate soltanto per i 12 mesi precedenti la richiesta.</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la ricorrente soffre segnatamente di sindrome cervicospondilogena cronica a destra, lombosciatalgie croniche prevalentemente a sinistra in esito da discectomia L4-L5 il 22 aprile 1999, operazione di recidiva il 17 novembre 1999, alterazioni degenerative lombari con osteocondrosi bisegmentali L4-L5 e L5-S1 nonché fibromialgia generalizzata.</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10.1</w:t>
      </w:r>
    </w:p>
    <w:p>
      <w:r>
        <w:t>Oggetto della lite è la questione di sapere se l'assicurata abbia diritto ad una mezza rendita dell'assicurazione invalidità e, in caso affermativo, se la stessa debba esserle riconosciuta, come da lei postulato, da gennaio 2000, ciò che presuppone un'incapacità lavorativa media di almeno il 40% durante un anno senza interruzione notevole (art. 29 cpv. 1 lett. b LAI).</w:t>
      </w:r>
    </w:p>
    <w:p>
      <w:r>
        <w:rPr>
          <w:b/>
        </w:rPr>
        <w:t>E. 10.2</w:t>
      </w:r>
    </w:p>
    <w:p>
      <w:r>
        <w:t>Il 3 febbraio 1999 la ricorrente ha interrotto il lavoro, allora svolto al 100%, per motivi di salute (doc. 11-1). L'autorità inferiore ha pertanto calcolato il grado d'invalidità dell'insorgente secondo il metodo generale del raffronto dei redditi, considerando giustamente che se non fosse sopraggiunto il danno alla salute la stessa avrebbe continuato, con probabilità preponderante, a lavorare al 100% nella sua precedente attività.</w:t>
      </w:r>
    </w:p>
    <w:p>
      <w:r>
        <w:rPr>
          <w:b/>
        </w:rPr>
        <w:t>E. 10.3</w:t>
      </w:r>
    </w:p>
    <w:p>
      <w:r>
        <w:t>Questo Tribunale osserva, altresì, che la perizia reumatologica del 24 febbraio 2004 del dott. H._______ (doc. 72-1) si fonda su informazioni fornite dalla persona esaminata e dal medico curante, sull'esame del quadro clinico e sulle risultanze della visita dell'insorgente nonché della documentazione medica agli atti (in particolare del referto peritale del medesimo dott. H._______ del dicembre 2001 nonché del rapporto reumatologico dell'aprile 2003 del dott. J._______, medico curante della paziente). Il rapporto di perizia comporta segnatamente l'anamnesi, informazioni tratte dall'incarto, indicazioni della peritanda, risultati d'esami, la diagnosi, la discussione nonché la risposta alle domande poste. A giusta ragione, il dott. G._______, nel suo rapporto del 6 settembre 2007 (doc. 95-1), ha ritenuto tale perizia come mezzo probatorio idoneo per la valutazione dello stato di salute della ricorrente e dell'esigibilità dell'esercizio di un'attività sostitutiva adeguata, fermo restando che dagli atti di causa dell'autorità inferiore trasmessi a questo Tribunale risulta essere stato prodotto dall'insorgente un unico documento medico di data posteriore alla perizia del febbraio 2004, ossia il rapporto dell'8 ottobre 2007 del dott. N._______ (doc. TAF 1), di cui si dirà in dettaglio di seguito.</w:t>
      </w:r>
    </w:p>
    <w:p>
      <w:r>
        <w:rPr>
          <w:b/>
        </w:rPr>
        <w:t>E. 10.4</w:t>
      </w:r>
    </w:p>
    <w:p>
      <w:r>
        <w:t>Certo, la ricorrente ha affermato, in sede ricorsuale, l'esistenza di un danno alla salute più importante rispetto alla valutazione effettuata dall'autorità inferiore e tale da comportare una riduzione di rendimento del 50% in attività leggere confacenti allo stato di salute. Tuttavia, non vi è agli atti di causa alcuna documentazione medica, segnatamente di data anteriore alla decisione impugnata, suscettibile di dimostrare la sussistenza di limitazioni funzionali maggiori di quelle ritenute dal perito nonché dal medico dell'Ufficio AI del Cantone C._______ e suscettibili d'incidere anche sull'esercizio a tempo completo di un'attività di sostituzione leggera. Per quanto attiene alla relazione medica dell'8 ottobre 2007 - di data posteriore alla decisione impugnata - del dott. N._______, specialista in ortopedia, giova osservare che nella misura in cui si riferisce alla nota diagnosi, segnatamente di esiti di interventi per ernia discale, lombosciatalgia e dolori all'articolazione scapolo-omerale, non apporta alcun nuovo elemento decisivo nel senso indicato dalla ricorrente per la valutazione della sua capacità lavorativa. Inoltre, nella misura in cui in tale relazione medica è fatto riferimento ad un recente esame radiologico e a nuove patologie, non è preteso, tanto meno dimostrato, che quest'ultime esistessero anteriormente alla decisione impugnata e che avessero un'incidenza sulla capacità lavorativa della ricorrente, la relazione di cui trattasi non comportando alcuna indicazione in merito ad una specifica inabilità lavorativa e neppure al relativo grado, in particolare in attività sostitutive leggere.</w:t>
      </w:r>
    </w:p>
    <w:p>
      <w:r>
        <w:rPr>
          <w:b/>
        </w:rPr>
        <w:t>E. 10.5</w:t>
      </w:r>
    </w:p>
    <w:p>
      <w:r>
        <w:t>La ricorrente ha altresì contestato che il perito dott. H._______ possa correttamente fissare un grado residuo di capacità lavorativa identico nelle perizie del dicembre del 2001 e del febbraio 2004 benché in quest'ultima abbia aggiunto una nuova diagnosi, quella di fibromialgia.</w:t>
      </w:r>
    </w:p>
    <w:p>
      <w:r>
        <w:rPr>
          <w:b/>
        </w:rPr>
        <w:t>E. 10.5.1</w:t>
      </w:r>
    </w:p>
    <w:p>
      <w:r>
        <w:t>Il Tribunale federale ha stabilito che non vi è motivo per l'amministrazione e il giudice di 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(DTF 132 V 65 con riferimento alla giurisprudenza sviluppata in DTF 131 V 49). Come in tema di disturbi da dolore somatoforme si deve comunque prendere in considerazione la possibile sussistenza di determinati fattori che, per la loro intensità e costanza, rendono la persona incapace di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d'integrazione sociale in tutte le manifestazioni della vita o la constatazione dell'insuccesso delle cure ambulatorie o stazionarie praticate secondo le regole dell'arte, questo nonostante l'attitudine cooperativa della persona assicurata. In presenza di una componente psichiatrica, si deve tenere conto dell'esistenza di uno stato psichico cristalizzato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w:t>
      </w:r>
    </w:p>
    <w:p>
      <w:r>
        <w:rPr>
          <w:b/>
        </w:rPr>
        <w:t>E. 10.5.2</w:t>
      </w:r>
    </w:p>
    <w:p>
      <w:r>
        <w:t>Nell'evenienza concreta, i suddetti requisiti non sono adempiuti entro la data della decisione impugnata. A giusto titolo il medico dell'Ufficio AI del Cantone C._______, dott. G._______, ha considerato nella sua presa di posizione del 6 settembre 2007 che la diagnosticata fibromialgia non comporta un'incapacità lavorativa in assenza di patologie di tipo psichico o di trattamenti specialistici o medicamentosi, (sia aggiunto in questa sede) praticati secondo la regola d'arte e che non avrebbero avuto successo nonostante l'attitudine cooperativa dell'insorgente.</w:t>
      </w:r>
    </w:p>
    <w:p>
      <w:r>
        <w:rPr>
          <w:b/>
        </w:rPr>
        <w:t>E. 10.6</w:t>
      </w:r>
    </w:p>
    <w:p>
      <w:r>
        <w:t>Anche l'evocata problematica psicosociale non soccorre la ricorrente. In effetti, fattori socioculturali o psicosociali non determinano un'invalidità ai sensi di legge in assenza di reperti psichiatrici da essi distinguibili (DTF 127 V 294). Nel caso di specie, tuttavia, non è stata posta alcuna diagnosi psichiatrica, neppure indirettamente nella relazione ortopedica dell'8 ottobre 2007. La problematica psicosociale evocata dalla ricorrente non può pertanto essere presa in considerazione, come rettamente rilevato dal dott. G._______ nella più volte citata presa di posizione del 6 settembre 2007.</w:t>
      </w:r>
    </w:p>
    <w:p>
      <w:r>
        <w:rPr>
          <w:b/>
        </w:rPr>
        <w:t>E. 10.7</w:t>
      </w:r>
    </w:p>
    <w:p>
      <w:r>
        <w:t>Va ancora osservato che sulla scorta delle risultanze processuali - in particolare delle perizie reumatologiche di dicembre 2001 e febbraio 2004 nonché delle valutazioni del dott. G._______ e della consulente in integrazione professionale - l'UAIE ha ritenuto che la ricorrente ha una capacità lavorativa del 50% nella sua precedente professione di ausiliaria di pulizie, ma del 100% in attività sostitutive leggere, adeguate alle sue limitazioni funzionali, attività ravvisabili sia nel settore secondario (in particolare mansioni di confezione, stampa, assemblaggio, lucidatura, etichettatura, imballaggio) sia nel settore terziario (in particolare custode, addetta alla sorveglianza, stiratrice, collaboratrice nelle economie domestiche, alberghi, ristoranti e venditrice non qualificata; v. segnatamente rapporto della consulente in integrazione professionale del 10 ottobre 2005; doc. 77-1). Certo, nei rapporti sulle perizie reumatologiche del 5 dicembre 2001 e del 24 febbraio 2004 non è fatto esplicito riferimento al momento a partire dal quale l'insorgente, incapace al lavoro nella misura del 50% nella sua precedente attività a partire da febbraio 1999, sia abile al lavoro nella misura del 100% in un'attività sostitutiva leggera adeguata alle sue condizioni (lo è sicuramente a partire dal 5 dicembre del 2001 secondo il perito H._______; cfr. doc. 22-1 e doc. 72-1). Sennonché, a giusta ragione la consulente in integrazione professionale e l'autorità inferiore hanno ritenuto che ciò si è verificato prima della scadenza dell'anno da quando la ricorrente, nel mese di febbraio del 1999 ha un'incapacità lavorativa di almeno il 50% nella sua precedente attività. Tale conclusione trova il suo fondamento nelle citate perizie di dicembre 2001 e febbraio 2004, da cui si evince che lo stato di salute dell'insorgente avente un'incidenza sulla sua capacità lavorativa è sostanzialmente invariato rispetto a quello esistente dopo le due operazioni del 1999 (cfr. anche il rapporto del dott. F._______ del 26 gennaio 2001; doc. 12-2). Tutt'al più può essere in aggiunta rilevato che rispetto a febbraio del 2000 (momento in cui avrebbe se del caso potuto al più presto nascere il diritto per la ricorrente ad una rendita d'invalidità svizzera [art. 29 cpv. 1 lett. b LAI]), nel novembre del 2000 l'insorgente avverte anche delle cervicobrachialgie, come già indicato nelle due perizie reumatologiche del 5 dicembre 2001 e del 24 febbraio 2004 (cfr. doc. 22-1 pag. 2 e doc. 72-1 pag. 2). Ora, nella misura in cui in dette perizie - nel 2004 è stata aggiunta anche la diagnosi di fibromialgia - l'esperto ha considerato che sussisteva una capacità lavorativa del 100% in un'attività sostitutiva leggera adeguata alle limitazioni funzionali dell'insorgente, tale valutazione non può che essere valida anche per gennaio del 2000, più di un mese dopo l'intervento del novembre 1999 (v. su tale intervento pure il rapporto medico del 20 gennaio 2000; doc. 7-8). Per sovrabbondanza, può essere soggiunto che nel rapporto peritale E 213 del 18 dicembre 2000 è stata ritenuta al più un'incapacità lavorativa della ricorrente del 30% in attività sostitutiva adeguata (oltre che nella precedente attività; cfr. doc. 9.1 pag. 6), di modo che anche tenuto conto di tale valutazione, più favorevole alla ricorrente, non è possibile ritenere neppure anteriormente al 5 dicembre 2001, data della prima perizia reumatologica del dott. H._______, un'incapacità lavorativa di almeno il 40% in media per un periodo di un anno senza notevoli interruzioni.</w:t>
      </w:r>
    </w:p>
    <w:p>
      <w:r>
        <w:rPr>
          <w:b/>
        </w:rPr>
        <w:t>E. 10.8</w:t>
      </w:r>
    </w:p>
    <w:p>
      <w:r>
        <w:t>In siffatte circostanze, ben si può ritenere, come ha fatto il dott. G._______ (doc. 95-1), che la situazione medica era stata sufficientemente acclarata dall'autorità inferiore e che dunque non erano necessari ulteriori approfondimenti dal profilo medico.</w:t>
      </w:r>
    </w:p>
    <w:p>
      <w:r>
        <w:rPr>
          <w:b/>
        </w:rPr>
        <w:t>E. 11</w:t>
      </w:r>
    </w:p>
    <w:p>
      <w:r>
        <w:t>Occorre infine esaminare la conformità del tasso d'invalidità calcolato dall'autorità inferiore.</w:t>
      </w:r>
    </w:p>
    <w:p>
      <w:r>
        <w:rPr>
          <w:b/>
        </w:rPr>
        <w:t>E. 11.1</w:t>
      </w:r>
    </w:p>
    <w:p>
      <w:r>
        <w:t>Questo Tribunale osserva che il calcolo effettuato dall'UAIE per la determinazione del grado d'invalidità (cfr. lettera O.b del presente giudizio) si fonda sul salario con e senza invalidità come fissati dalla consulente in integrazione professionale nel documento del 10 ottobre 2005 (doc. 77-1).</w:t>
      </w:r>
    </w:p>
    <w:p>
      <w:r>
        <w:rPr>
          <w:b/>
        </w:rPr>
        <w:t>E. 11.2</w:t>
      </w:r>
    </w:p>
    <w:p>
      <w:r>
        <w:t>L'autorità inferiore ha considerato quale reddito annuale da valida il salario conseguibile dalla ricorrente nel 2000 (secondo le indicazioni del datore di lavoro), ossia fr. 38'349.-- (valore a cui si è giunti tenuto conto di un reddito mensile di fr. 2'359.90, corrispondente all'80% del salario, vale a dire un reddito mensile effettivo di fr. 2'949.85 su 13 mesi; doc. 17-1).</w:t>
      </w:r>
    </w:p>
    <w:p>
      <w:r>
        <w:rPr>
          <w:b/>
        </w:rPr>
        <w:t>E. 11.3</w:t>
      </w:r>
    </w:p>
    <w:p>
      <w:r>
        <w:t>L'autorità inferiore ha inoltre ritenuto quale reddito da invalida, il salario medio annuale ottenibile nel 2000 in attività semplici e ripetitive (categoria 4), ossia fr. 36'328.--, secondo i dati statistici regionali desumibili dalla tabella TA13.</w:t>
      </w:r>
    </w:p>
    <w:p>
      <w:r>
        <w:rPr>
          <w:b/>
        </w:rPr>
        <w:t>E. 11.3.1</w:t>
      </w:r>
    </w:p>
    <w:p>
      <w:r>
        <w:t>Tuttavia, per giurisprudenza, non è più ammessa la possibilità di fare capo ai dati statistici regionali desumibili dalla tabella TA13 dell'inchiesta svizzera sulla struttura dei salari (ISS) edita dall'Ufficio federale di statistica, il reddito ipotetico da invalido dovendo essere stabilito sulla base della tabella TA1 dell'ISS, concernente i salari medi nazionali conseguibili nel settore privato (cfr. sentenza del Tribunale federale I 222/06 del 10 luglio 2007).</w:t>
      </w:r>
    </w:p>
    <w:p>
      <w:r>
        <w:rPr>
          <w:b/>
        </w:rPr>
        <w:t>E. 11.3.2</w:t>
      </w:r>
    </w:p>
    <w:p>
      <w:r>
        <w:t>Per quel che concerne la determinazione del salario da invalida, giova pertanto osservare che la valutazione operata dall'autorità inferiore appare favorevole alla ricorrente. In effetti, richiamando i dati della TA1 dell'ISS per l'anno 2000 in attività semplici e ripetitive (categoria 4) - salario medio mensile - nel settore secondario (fr. 3'641.-- per 40 ore lavorative settimanali e fr. 3'777.55 per le abituali 41.5 ore lavorative settimanali del settore) e terziario (fr. 3'663.-- su 40 ore lavorative settimanali e fr. 3'837.-- sulle abituali 41.9 ore lavorative settimanali del settore), ne discenderebbe un reddito con invalidità di fr. 41'118.-- all'anno ([3'777.55 x 12] + [3'837 x 12] : 2 = 45'687, cifra che va ridotta ancora del 10%, come rettamente ritenuto nella decisione impugnata), con conseguente tasso d'invalidità inferiore a quello ritenuto nella decisione impugnata, ciò pure nell'ipotesi in cui si volesse effettuare una riduzione massima del 25% (eccessiva conto tenuto dell'insieme delle circostanze del caso di specie).</w:t>
      </w:r>
    </w:p>
    <w:p>
      <w:r>
        <w:rPr>
          <w:b/>
        </w:rPr>
        <w:t>E. 11.3.3</w:t>
      </w:r>
    </w:p>
    <w:p>
      <w:r>
        <w:t>Pertanto, anche volendo, nell'ipotesi maggiormente favorevole alla ricorrente, prendere in considerazione il reddito da invalida ritenuto dall'autorità inferiore nella decisione impugnata (v. lettera O.b del riassunto dei fatti del presente giudizio), il tasso d'invalidità (del 15% [con una riduzione del 10%] e del 29% [con una riduzione del 25%] risulta manifestamente insufficiente per giustificare il diritto a prestazioni AI.</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versato dalla ricorrente stessa l'11 febbraio 2008.</w:t>
      </w:r>
    </w:p>
    <w:p>
      <w:r>
        <w:rPr>
          <w:b/>
        </w:rPr>
        <w:t>E. 13.2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