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C-7212/2008 vom 3. Dezember 2009</w:t>
      </w:r>
    </w:p>
    <w:p>
      <w:r>
        <w:t>Bundesverwaltungsgericht, 2009-12-03, FR</w:t>
      </w:r>
    </w:p>
    <w:p>
      <w:r>
        <w:rPr>
          <w:b/>
        </w:rPr>
        <w:t xml:space="preserve">Quelle: </w:t>
      </w:r>
      <w:r>
        <w:t>https://mcp.opencaselaw.ch/entscheid/bvger_C-7212_2008</w:t>
      </w:r>
    </w:p>
    <w:p>
      <w:r>
        <w:t>FR: TAF C-7212/2008 du 3 décembre 2009</w:t>
      </w:r>
    </w:p>
    <w:p>
      <w:r>
        <w:t>IT: TAF C-7212/2008 del 3 dicembre 2009</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et la forme prescrits (art. 60 LPGA et 52 PA), l'avance de frais versée dans le délai imparti (cf. pce 8 TAF),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droit aux prestations de l'assurance-invalidité suisse est déterminé exclusivement d'après le droit suisse (art. 40 par. 4 du règlement 1408/71).</w:t>
      </w:r>
    </w:p>
    <w:p>
      <w:r>
        <w:rPr>
          <w:b/>
        </w:rPr>
        <w:t>E. 4</w:t>
      </w:r>
    </w:p>
    <w:p>
      <w:r>
        <w:t>Est litigieux en l'espèce le droit aux mesures de reclassement à partir du 1er mai 2008. L'OAIE a en effet mis un terme aux mesures de reclassement avec la fin du cours théorique de formation.</w:t>
      </w:r>
    </w:p>
    <w:p>
      <w:r>
        <w:rPr>
          <w:b/>
        </w:rPr>
        <w:t>E. 5</w:t>
      </w:r>
    </w:p>
    <w:p>
      <w:r>
        <w:t>S'agissant du droit applicable, il convient de préciser qu'à partir du 1er janvier 2008 (RO 2007 5129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Par conséquent, le droit à des mesures de reclassement s'examine en l'espèce à la lumière des nouvelles normes.</w:t>
      </w:r>
    </w:p>
    <w:p>
      <w:r>
        <w:rPr>
          <w:b/>
        </w:rPr>
        <w:t>E. 6</w:t>
      </w:r>
    </w:p>
    <w:p>
      <w:r>
        <w:t>L'invalidité au sens de la législation sociale est la diminution de la capacité de gain présumée permanente ou de longue durée, qui résulte d'une atteinte à la santé physique ou mentale, provenant d'une infirmité congénitale, d'une maladie ou d'un accident (art. 8 al. 1 LPGA et 4 al. 1 LAI). Selon l'art. 4 al. 2 LAI, l'invalidité est réputée survenue dès qu'elle est, par sa nature et sa gravité, propre à ouvrir droit aux prestations entrant en considération (ATF 126 V 9 consid. 2b, 118 V 82 consid. 3a et réf. cit.; Jurisprudence et pratique administrative des autorités d'exécution de l'AVS/AI [Pratique VSI] 1998 p. 209 consid. 3a). Ce moment se détermine objectivement à partir de l'état de santé de l'intéressé, des facteurs externes et fortuits ne doivent pas être retenus (JEAN-LOUIS DUC, L'assurance invalidité in ULRICH MEYER [édit.], Soziale Sicherheit, Bâle 2007, p. 1426).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7.1</w:t>
      </w:r>
    </w:p>
    <w:p>
      <w:r>
        <w:t>L'art. 8 al. 1 LAI prévoit que les assurés invalides ou menacés d'une invalidité (art. 8 LPGA) ont droit à des mesures de réadaptation pour autant: a. que ces mesures soient nécessaires et de nature à rétablir, maintenir ou améliorer leur capacité de gain ou leur capacité d'accomplir leurs travaux habituels; b. que les conditions d'octroi des différentes mesures soient remplies. Le droit aux mesures de réadaptation n'est pas lié à l'exercice d'une activité lucrative préalable. Lors de la fixation de ces mesures, il est tenu compte de la durée probable de la vie professionnelle restante (art. 8 al. 1bis LAI). Les mesures de réadaptation comprennent: a. les mesures médicales; abis. des mesures de réinsertion préparant à la réadaptation professionnelle; b. des mesures d'ordre professionnel (orientation professionnelle, formation professionnelle initiale, reclassement, placement, aide en capital); d. l'octroi de moyens auxiliaires (art. 8 al. 3 LAI). Les mesures de réadaptation sont appliquées en Suisse, et peuvent l'être exceptionnellement à l'étranger (art. 9 al. 1 LAI). Le droit aux mesures de réadaptation prend naissance au plus tôt au moment de l'assujettissement à l'assurance obligatoire ou facultative et s'éteint au plus tard à la fin de cet assujettissement (art. 9 al. 1bis LAI).</w:t>
      </w:r>
    </w:p>
    <w:p>
      <w:r>
        <w:rPr>
          <w:b/>
        </w:rPr>
        <w:t>E. 7.2</w:t>
      </w:r>
    </w:p>
    <w:p>
      <w:r>
        <w:t>L'assuré a droit au reclassement dans une nouvelle profession si son invalidité rend cette mesure nécessaire et que sa capacité de gain peut ainsi, selon toute vraisemblance, être maintenue ou améliorée (art. 17 al. 1 LAI). Par reclassement, il faut entendre l'ensemble des mesures de réadaptation de nature professionnelle qui sont nécessaires et suffisantes pour procurer à l'assuré une possibilité de gain à peu près équivalente à celle que lui offrait son ancienne activité. Le reclassement est ainsi la formation professionnelle raisonnablement exigible que l'assurance-invalidité doit accorder, à cause de l'atteinte à la santé qu'il présente, à un invalide qui a déjà exercé une activité lucrative dans le passé (DUC, op. cit., p. 1453). La rééducation dans la même profession est assimilée au reclassement (art. 17 al. 2 LAI). La notion d'équivalence ne se rapporte pas tant au niveau de la formation qu'à la possibilité de gain à laquelle on peut s'attendre d'un reclassement. En principe l'intéressé n'a droit qu'aux mesures nécessaires et appropriées au but de la réadaptation, mais pas aux mesures les meilleures possibles d'après les circonstances du cas (ATF 124 V 108 et les références). Selon l'art. 28 al. 1 lett. a LAI, la réadaptation est prioritaire par rapport à l'octroi de la rente, laquelle est versée dans la mesure où la réadaptation a échoué (ATF 126 V 241 consid. 5, 108 V 210 consid. 1d).</w:t>
      </w:r>
    </w:p>
    <w:p>
      <w:r>
        <w:rPr>
          <w:b/>
        </w:rPr>
        <w:t>E. 7.3</w:t>
      </w:r>
    </w:p>
    <w:p>
      <w:r>
        <w:t>Le Tribunal de céans retient, en l'espèce, à l'instar de l'autorité inférieure (cf. pce 3 TAF), que l'obtention du certificat de formateur d'adultes ne permettrait pas à l'intéressé d'améliorer sa capacité de gain. En effet, l'exercice d'un travail dans ce domaine reste difficile du fait des atteintes à la santé de l'intéressé. Les conclusions du Centre Rencontres dans le bilan de séjour du 30 avril 2008 ne laissent à cet égard aucune place au doute (pces 117, 124). Du reste, le recourant, en raison de son état de santé, n'a pas été en mesure d'achever sa formation pratique ni de déposer le travail de diplôme dans le délai qui lui avait été imparti (cf. duplique du 29 octobre 2009). L'autorité de céans constate, au demeurant, que le recourant a été mis au bénéfice d'une rente d'invalidité de l'assurance-accident à partir du 1er mai 2008, ce qui indique une fois de plus que la conclusion de la formation entreprise n'était plus exigible. En ces circonstances, force est de constater qu'une éventuelle obtention du certificat de formateur d'adultes ne permettrait pas au recourant d'améliorer sa capacité de gain, mais tout au plus d'élargir son spectre d'employeurs potentiels, ce qui n'entre pas dans le cadre de l'art. 17 LAI. La prise en charge par l'assurance-invalidité de mesures de réadaptation supplémentaires jusqu'en avril 2009 n'apparaît donc manifestement pas justifiée.</w:t>
      </w:r>
    </w:p>
    <w:p>
      <w:r>
        <w:rPr>
          <w:b/>
        </w:rPr>
        <w:t>E. 8</w:t>
      </w:r>
    </w:p>
    <w:p>
      <w:r>
        <w:t>Le recours, manifestement infondé, doit partant être rejeté dans une procédure à juge unique (art. 85bis al. 3 de la loi fédérale du 20 décembre 1946 sur l'assurance-vieillesse et survivants [LAVS, RS 831.10], applicable par le renvoi de l'art. 69 al. 2 LAI). Compte tenu de la décision de la SUVA du 12 janvier 2009, le dossier de la cause doit néanmoins être renvoyé à l'autorité inférieure afin qu'elle statue sur le droit du recourant à une rente d'invalidité suisse.</w:t>
      </w:r>
    </w:p>
    <w:p>
      <w:r>
        <w:rPr>
          <w:b/>
        </w:rPr>
        <w:t>E. 9</w:t>
      </w:r>
    </w:p>
    <w:p>
      <w:r>
        <w:t>Vu l'issue de la procédure, les frais de celle-ci, fixés à Fr. 300.-, sont mis à la charge du recourant (art. 63 al. 1 PA, applicable par le truchement de l'art. 37 LTAF). Ils sont compensés par l'avance de frais du même montant dont il s'est acquitté au cours de l'instruction. 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