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C-7211/2013 vom 15. September 2015</w:t>
      </w:r>
    </w:p>
    <w:p>
      <w:r>
        <w:t>Bundesverwaltungsgericht, 2015-09-15, DE</w:t>
      </w:r>
    </w:p>
    <w:p>
      <w:r>
        <w:rPr>
          <w:b/>
        </w:rPr>
        <w:t xml:space="preserve">Quelle: </w:t>
      </w:r>
      <w:r>
        <w:t>https://mcp.opencaselaw.ch/entscheid/bvger_C-7211_2013</w:t>
      </w:r>
    </w:p>
    <w:p>
      <w:r>
        <w:t>FR: TAF C-7211/2013 du 15 septembre 2015</w:t>
      </w:r>
    </w:p>
    <w:p>
      <w:r>
        <w:t>IT: TAF C-7211/2013 del 15 settembre 2015</w:t>
      </w:r>
    </w:p>
    <w:p>
      <w:pPr>
        <w:pStyle w:val="Heading2"/>
      </w:pPr>
      <w:r>
        <w:t>Regeste</w:t>
      </w:r>
    </w:p>
    <w:p>
      <w:r>
        <w:t>Invalidenversicherung (Übriges)</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(SR 830.1) vorbehalten. Gemäss Art. 2 ATSG sind die Bestimmungen dieses Gesetzes anwendbar, wenn und soweit die einzelnen Sozialversicherungsgesetze es vorsehen. Nach Art. 1 IVG sind die Bestimmungen des ATSG auf die IV anwendbar,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Gemäss Art. 59 ATSG ist zur Beschwerde berechtigt, wer durch die angefochtene Verfügung oder den Einspracheentscheid berührt ist und ein schutzwürdiges Interesse an deren Aufhebung oder Änderung hat. Diese Begriffe sind nach der Rechtsprechung ebenso auszulegen wie für das bundesrechtliche Beschwerdeverfahren nach Art. 89 Abs. 1 Bst. b und c des Bundesgerichtsgesetzes (BGG [SR 173.110]; BGE 130 V 560 E. 3.2, Urteil des BGer 9C_991/2008 vom 18. Mai 2009 E. 2).</w:t>
      </w:r>
    </w:p>
    <w:p>
      <w:r>
        <w:rPr>
          <w:b/>
        </w:rPr>
        <w:t>E. 1.4</w:t>
      </w:r>
    </w:p>
    <w:p>
      <w:r>
        <w:t>Erlässt ein Versicherungsträger eine Verfügung, welche die Leistungspflicht eines anderen Trägers berührt, so hat er gemäss Art. 49 Abs. 4 ATSG auch ihm die Verfügung zu eröffnen; dieser kann die gleichen Rechtsmittel ergreifen wie die versicherte Person. Nach der Rechtsprechung wird Art. 49 Abs. 4 ATSG gleich ausgelegt wie Art. 59 ATSG. Auch hier ist demnach derjenige anderweitige Versicherungsträger berührt, der in einer besonderen, beachtenswerten, nahen Beziehung zur Streitsache steht, mithin in rechtlichen oder tatsächlichen Interessen spürbar betroffen ist (BGE 132 V 74 E. 3.1 mit Hinweisen). Bei einer Beschwerdeerhebung "contra Adressat" ist die hinreichende Beziehungsnähe gegeben und damit die Legitimation des anfechtungswilligen Versicherungsträgers zu bejahen, wenn der Rentenentscheid ihm gegenüber Bindungswirkung entfaltet.</w:t>
      </w:r>
    </w:p>
    <w:p>
      <w:r>
        <w:rPr>
          <w:b/>
        </w:rPr>
        <w:t>E. 1.5</w:t>
      </w:r>
    </w:p>
    <w:p>
      <w:r>
        <w:t>Nach der Rechtsprechung sind die Vorsorgeeinrichtungen im Bereich der gesetzlichen Mindestvorsorge (vgl. Art. 6 BVG [SR 831.40]) grundsätzlich an die Feststellungen der IV-Organe hinsichtlich des Eintritts der invalidisierenden Arbeitsunfähigkeit, der Eröffnung der Wartezeit und der Festsetzung des Invaliditätsgrades gebunden, soweit die invalidenversicherungsrechtliche Betrachtungsweise aufgrund der gesamthaften Prüfung der Akten nicht als offensichtlich unhaltbar erscheint (BGE 130 V 270 E. 3.1). Diese Konzeption fusst auf der Überlegung, die Organe der (obligatorischen) beruflichen Vorsorge von eigenen aufwändigen Abklärungen freizustellen. Voraussetzung der Bindungswirkung ist ferner, dass die Vorsorgeeinrichtung spätestens ins Vorbescheidverfahren einbezogen und ihr die entsprechende Verfügung formgültig eröffnet wurde (vgl. Urteil des BGer 9C_858/2010 vom 17. Mai 2011 E. 2.3.1).</w:t>
      </w:r>
    </w:p>
    <w:p>
      <w:r>
        <w:rPr>
          <w:b/>
        </w:rPr>
        <w:t>E. 1.6</w:t>
      </w:r>
    </w:p>
    <w:p>
      <w:r>
        <w:t>Die Bindungswirkung gilt überdies nur bezüglich jener Feststellungen und Beurteilungen der IV-Organe, welche im invalidenversicherungsrechtlichen Verfahren für die Festlegung des Anspruchs auf eine Invalidenrente entscheidend waren (vgl. Urteil des BGer 9C_8/2009 30. März 2009 E. 3.2 mit Hinweisen; SVR 2007 IV Nr. 3 S. 8 E. 4; Marc Hürzeler, Invaliditätsproblematiken in der beruflichen Vorsorge, Basel/Genf/München 2006, S. 232 Rz. 546). Entfalten die Feststellungen der IV-Organ keine Bindungswirkung, so haben die Vorsorgeeinrichtung die Anspruchsvoraussetzungen ihrerseits frei zu prüfen (vgl. Urteil des BGer 9C_414/2007 vom 25. Juli 2008 E. 2.3 mit Hinweis). Ein schutzwürdiges Interesse der Vorsorgeeinrichtung entfällt (mangels Bindungswirkung) etwa dann, wenn sie eine IV-Verfügung einzig betreffend eine über den Beginn des Wartejahrs nach Art. 29 Abs. 1 Bst. b IVG zurückreichende Arbeitsunfähigkeit im berufsvorsorgerechtlich relevanten Umfang von 20 % anficht. Da der Rentenanspruch nach Art. 29 Abs. 1 IVG (in der seit 1. Januar 2008 gültigen Fassung) frühestens sechs Monate nach Anmeldung entstehen kann, ist für das Wartejahr nach Art. 28 Abs. 1 Bst. b IVG allein der Sachverhalt sechs Monate vor Anmeldung von Bedeutung. Hingegen fällt IV-rechtlich nicht ins Gewicht, ob bereits vor Beginn des Wartejahrs Arbeitsfähigkeiten bestanden haben mögen. Mithin braucht die IV-Stelle die Entwicklung der Arbeitsfähigkeit nicht weitergehend als sechs Monate vor Anmeldung abzuklären. Tut sie das doch, sind die darauf bezogenen Tatsachenfeststellungen der IV-Stelle für die Organe der beruflichen Vorsorge von vornherein nicht verbindlich. Folglich ist die Vorsorgeeinrichtung in einem solchen Fall mangels schutzwürdigem Interesse nicht zur Beschwerde im IV-Verfahren legitimiert (Urteile des BGer 9C_12/2014 vom 30. Mai 2014 E. 2.2, 9C_620/2012 vom 16. Oktober 2012 E. 2.4 mit Hinweisen, in: SVR 2013 BVG Nr. 17 S. 67, 9C_414/2007 E. 2.3; vgl. auch Meyer/Reichmuth, Bundesgesetz über die Invalidenversicherung, 3. Auflage 2014, Art. 4 Rz. 123 und Art. 28 Rz. 38).</w:t>
      </w:r>
    </w:p>
    <w:p>
      <w:r>
        <w:rPr>
          <w:b/>
        </w:rPr>
        <w:t>E. 2.1</w:t>
      </w:r>
    </w:p>
    <w:p>
      <w:r>
        <w:t>Zwischen den Parteien ist unbestritten, dass der Beschwerdegegner Anspruch auf eine ganze Invalidenrente hat. Die Stiftung führt mit Blick auf ihre allfällige Leitungspflicht nach Art. 23 Bst. a BVG Beschwerde. Eine Leistungspflicht der Beschwerdeführerin könnte vorliegend dann bestehen, wenn der Beschwerdegegner noch während des bestehenden Vorsorgeverhältnisses im berufsvorsorgerechtlich relevanten Ausmass arbeitsunfähig gewesen worden wäre. Die Beschwerdeführerin bemängelt denn auch in erster Linie die vorinstanzliche Festsetzung des Beginns der Wartezeit nach Art. 28 Abs. 1 Bst. b IVG auf April 2008 und verlangt die gerichtliche Feststellung, dass der Beschwerdegegner bei Beendigung des Vorsorgeverhältnisses zu 100 % arbeitsfähig gewesen sei. Zudem stellt sie zumindest sinngemäss den Zeitpunkt des Eintritts der Arbeitsunfähigkeit von 100 % per Oktober 2012 in Frage. Im Rahmen der Legitimationsprüfung stellt sich vorerst die Frage, ob die beanstandeten Feststellungen und Beurteilungen gegenüber der Beschwerdeführerin Bindungswirkung entfalten.</w:t>
      </w:r>
    </w:p>
    <w:p>
      <w:r>
        <w:rPr>
          <w:b/>
        </w:rPr>
        <w:t>E. 2.2</w:t>
      </w:r>
    </w:p>
    <w:p>
      <w:r>
        <w:t>Es unbestritten, dass die angefochtene Verfügung der Beschwerdeführerin am 19. November 2013 in Kopie zur Kenntnisnahme zugestellt wurde (BVGer act 1, Beilage 1). Demgegenüber ist aus den Akten nicht ersichtlich, dass ihr die beiden Vorbescheide vom 18. Juni 2013 und 3. Oktober 2013 eröffnet worden wären (vgl. act. 28, 40 und 49). Mithin wurde die Beschwerdeführerin nicht in das invalidenversicherungsrechtliche Verfahren miteinbezogen. Wird eine präsumtiv leistungspflichtige Vorsorgeeinrichtung jedoch nicht spätestens in das Vorbescheidverfahren miteinbezogen, entfalten die im vorgängigen IV-Verfahren getroffenen Feststellungen und Beurteilungen ihr gegenüber keine Bindungswirkung (vgl. vorstehende E. 1.5). Die fehlende Bindungswirkung in solchen Fällen, wird im Wesentlichen mit dem in der Verfassung gewährleisteten Grundsatz des rechtlichen Gehörs (Art. 29 Abs. 2 BV) begründet. Danach ist demjenigen, der sich später eine Verfügung entgegenhalten lassen muss, die Gelegenheit zuzugestehen, sich vorgängig dagegen zur Wehr zu setzen (vgl. Art. 49 Abs. 4 ATSG). Mithin kann auch einer Vorsorgeeinrichtung, nicht etwas als bereits verbindlich Vorbestimmtes entgegengehalten werden, ohne dass sie bei dessen Festlegung hätte mitwirken können (vgl. Urteil des Eidgenössischen Versicherungsgerichts [EVG, seit 2007: Bundesgericht] B 132/04 vom 18. Mai 2005 E. 1.1, BGE 129 V 73 E. 4.1). Nichts daran zu ändern vermag der Umstand, dass der Beschwerdeführerin die Verfügung zur Kenntnis zugestellt wurde. Die damit offenstehende Beschwerdemöglichkeit vermag den Mangel der Gehörsverletzung im invalidenversicherungsrechtlichen Abklärungsverfahren nicht zu heilen (Urteil des BGer 9C_702/2011 vom 28. Februar 2012 E. 3.1 und 3.2, Urteile des EVG I 416/06 vom 3. Januar 2007 E. 3.2 und B 111/02 vom 14. Juni 2002 E. 3.1). Die Bindungswirkung der angefochtenen Verfügung für die Beschwerdeführerin ist bereits aus diesem Grund zu verneinen.</w:t>
      </w:r>
    </w:p>
    <w:p>
      <w:r>
        <w:rPr>
          <w:b/>
        </w:rPr>
        <w:t>E. 2.3</w:t>
      </w:r>
    </w:p>
    <w:p>
      <w:r>
        <w:t>Doch selbst wenn man diesen Mangel bzw. die Gehörsverletzung entgegen der vorstehenden Ausführungen durch die Zustellung der Verfügungskopie zur Kenntnisnahme als geheilt betrachten würde, müsste ein schutzwürdiges Interesse an der Änderung oder Aufhebung der Verfügung verneint werden. Die Beschwerdeführerin möchte - wie sie selbst ausführt - mit vorliegender Beschwerde Klarheit über ihre allfällige Leistungspflicht schaffen und beantragt daher die Feststellung, dass der Beschwerdegegner bei Beendigung des Vorsorgeverhältnisses zu 100 % arbeitsfähig gewesen sei. Aufgrund der am 19. Februar 2013 erfolgten Anmeldung zu Leistungsbezug bestand invalidenversicherungsrechtlich kein Anlass, den Verlauf der Arbeitsunfähigkeit mehr als sechs Monate vor dem Zeitpunkt der Anmeldung zu prüfen. Da der Rentenanspruch nach Art. 29 Abs. 1 IVG in der seit 1. Januar 2008 gültigen Fassung (der auch dann zur Anwendung gelangt, wenn der Versicherungsfall vor dem 1. Januar 2008 eingetreten ist; vgl. SVR 2013 IV Nr. 12 = 9C_953/2011 E. 6) frühestens sechs Monate nach Anmeldung entstehen kann, ist für das Wartejahr nach Art. 28 Abs. 1 Bst. b IVG allein der Sachverhalt sechs Monate vor Anmeldung von Bedeutung. Zu diesem Zeitpunkt war das Vorsorgeverhältnis zwischen dem Beschwerdegegner und der Beschwerdeführerin längst beendet. Die im Rahmen der Begründung der Verfügung erwähnte Arbeitsunfähigkeit vom 20 % ab April 2008 gehört überdies nicht zum Dispositiv der Verfügung und erlangt daher keine Rechtsverbindlichkeit (vgl. Urteil des BGer 9C_414/2007 vom 25. Juli 2008 E. 2.4). Die angefochtene Verfügung der IV-Stelle entfaltet mit Blick auf eine mehr als sechs Monate vor dem Zeitpunkt der Anmeldung zurückliegende Arbeitsunfähigkeit des Beschwerdegegners jedenfalls keinerlei Bindungswirkung für die berufliche Vorsorge.</w:t>
      </w:r>
    </w:p>
    <w:p>
      <w:r>
        <w:rPr>
          <w:b/>
        </w:rPr>
        <w:t>E. 3</w:t>
      </w:r>
    </w:p>
    <w:p>
      <w:r>
        <w:t>Nach dem Gesagten entfalten die Feststellungen und Beurteilungen der Vorinstanz keine Bindungswirkung für die Beschwerdeführerin. Sie kann die Anspruchsvoraussetzungen für die Leistungen aus der beruflichen Vorsorge - insbesondere die Auswirkungen der Suchterkrankung, der Leber-, Nieren- und Hirnschädigung auf die Arbeitsfähigkeit (zu den vollständigen Diagnosen vgl. etwa BVGer act. 3) während bestehendem Vorsorgeverhältnis inklusive Nachdeckungsfrist - ihrerseits nach pflichtgemässem Ermessen frei prüfen. Andererseits steht es dem Beschwerdegegner offen, gegenüber der Beschwerdeführerin BVG-Leistungen geltend zu machen. Eine allfällige Streitigkeit daraus, wäre im berufsvorsorgerechtlichen Klageverfahren zu klären. Wird vorliegend mit Bezug auf den berufsvorsorgerechtlichen Leistungsanspruch durch die angefochtene Verfügung nichts präjudiziert, entfällt das Rechtsschutzinteresse der Beschwerdeführerin. Sie ist daher zur Beschwerdeerhebung im invalidenversicherungsrechtlichen Verfahren nicht legitimiert. Auf ihre Beschwerde vom 23. Dezember 2013 kann daher nicht eingetreten werden.</w:t>
      </w:r>
    </w:p>
    <w:p>
      <w:r>
        <w:rPr>
          <w:b/>
        </w:rPr>
        <w:t>E. 4</w:t>
      </w:r>
    </w:p>
    <w:p>
      <w:r>
        <w:t>Zu befinden ist noch über die Verfahrenskosten und eine allfällige Parteientschädigung.</w:t>
      </w:r>
    </w:p>
    <w:p>
      <w:r>
        <w:rPr>
          <w:b/>
        </w:rPr>
        <w:t>E. 4.1</w:t>
      </w:r>
    </w:p>
    <w:p>
      <w:r>
        <w:t>Der Ausgang des Verfahrens hat zur Folge, dass die Beschwerdeführerin kostenpflichtig wird (Art. 63 Abs. 1 VwVG). Die Verfahrenskosten werden in Anwendung des Reglements vom 21. Februar 2008 über die Kosten und Entschädigungen vor dem Bundesverwaltungsgericht (VGKE, SR 173.320.2) unter Berücksichtigung des Verfahrensaufwands auf Fr. 400.- festgelegt.</w:t>
      </w:r>
    </w:p>
    <w:p>
      <w:r>
        <w:rPr>
          <w:b/>
        </w:rPr>
        <w:t>E. 4.2</w:t>
      </w:r>
    </w:p>
    <w:p>
      <w:r>
        <w:t>Weder die unterliegende Beschwerdeführerin noch die Vorinstanz haben Anspruch auf eine Parteientschädigung (Art. 64 Abs. 1 VwVG i.V.m. Art. 7 Abs. 1 VGKE). Ebensowenig hat der Beschwerdegegner, der sich nicht am Verfahren beteiligt hat,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