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C-7203/2013 vom 13. Januar 2016</w:t>
      </w:r>
    </w:p>
    <w:p>
      <w:r>
        <w:t>Bundesverwaltungsgericht, 2016-01-13, DE</w:t>
      </w:r>
    </w:p>
    <w:p>
      <w:r>
        <w:rPr>
          <w:b/>
        </w:rPr>
        <w:t xml:space="preserve">Quelle: </w:t>
      </w:r>
      <w:r>
        <w:t>https://mcp.opencaselaw.ch/entscheid/bvger_C-7203_2013</w:t>
      </w:r>
    </w:p>
    <w:p>
      <w:r>
        <w:t>FR: TAF C-7203/2013 du 13 janvier 2016</w:t>
      </w:r>
    </w:p>
    <w:p>
      <w:r>
        <w:t>IT: TAF C-7203/2013 del 13 gennaio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2</w:t>
      </w:r>
    </w:p>
    <w:p>
      <w:r>
        <w:t>Als Adressat des die Einsprache abweisenden Entscheides ist der Beschwerdeführer davon berührt und er hat ein schutzwürdiges Interesse an deren Aufhebung oder Änderung (Art. 59 ATSG, Art. 48 Abs. 1 VwVG). Die Beschwerde wurde fristgerecht und formgerecht (vgl. Art. 38 ff. und Art. 60 ATSG, Art. 52 VwVG) eingereicht, weshalb darauf einzutreten ist.</w:t>
      </w:r>
    </w:p>
    <w:p>
      <w:r>
        <w:rPr>
          <w:b/>
        </w:rPr>
        <w:t>E. 3</w:t>
      </w:r>
    </w:p>
    <w:p>
      <w:r>
        <w:t>Angefochten ist der Einspracheentscheid vom 5. Dezember 2013, mit welchem die Vorinstanz die Abweisung des Begehrens um je eine Kinderrente für die beiden Stiefkinder E._______ und G._______ bestätigte. Bereits im Einspracheverfahren hatte der Beschwerdeführer der Vorinstanz mitgeteilt, die ältere Tochter E._______ sei von ihrem Vater nach Amerika eingeladen worden und habe ein Visum erhalten. Sinngemäss führte er aus, damit habe sich das Problem gelöst (Mitteilung vom 10. Oktober 2013, SAK-act. 96). In seiner Beschwerde weist er erneut darauf hin, dass E._______ am 17. November 2013 zu ihrem Vater in die USA abgereist sei, was er der SAK auch mitgeteilt habe. Zudem reichte er keine Bestätigungen mehr ein, welche E._______ betreffen. Daraus ist zu schliessen, dass sich die Beschwerde nur gegen die Abweisung des Kinderrentenanspruchs für die Stieftochter G._______ richtet.</w:t>
      </w:r>
    </w:p>
    <w:p>
      <w:r>
        <w:rPr>
          <w:b/>
        </w:rPr>
        <w:t>E. 4</w:t>
      </w:r>
    </w:p>
    <w:p>
      <w:r>
        <w:t>Zunächst sind die anwendbaren gesetzlichen Bestimmungen und die von der Rechtsprechung entwickelten Grundsätze darzulegen.</w:t>
      </w:r>
    </w:p>
    <w:p>
      <w:r>
        <w:rPr>
          <w:b/>
        </w:rPr>
        <w:t>E. 4.1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w:t>
      </w:r>
    </w:p>
    <w:p>
      <w:r>
        <w:rPr>
          <w:b/>
        </w:rPr>
        <w:t>E. 4.2</w:t>
      </w:r>
    </w:p>
    <w:p>
      <w:r>
        <w:t>Anspruch auf eine Waisenrente haben Kinder, deren Vater oder Mutter gestorben ist (Art. 25 Abs. 1 Satz 1 AHVG). Gemäss Art. 25 Abs. 3 AHVG in Verbindung mit Art. 49 Abs. 1 AHVV (SR 831.101) haben Pflegekinder beim Tod der Pflegeeltern Anspruch auf eine Waisenrente nach Art. 25 AHVG, wenn sie unentgeltlich zu dauernder Pflege und Erziehung aufgenommen worden sind.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4.2.1</w:t>
      </w:r>
    </w:p>
    <w:p>
      <w:r>
        <w:t>Das Stiefkind, das im Haushalt des Stiefvaters oder der Stiefmutter lebt, ist einem Pflegekind gleichgestellt, wenn der Stiefelternteil unentgeltlich für seinen Unterhalt aufgekommen ist (Urteil EVG H 123/02 vom 24. Februar 2003 E. 1 mit Hinweisen, Urteil EVG B 14/04 vom 19. Sep­tember 2005 E. 1.3).</w:t>
      </w:r>
    </w:p>
    <w:p>
      <w:r>
        <w:rPr>
          <w:b/>
        </w:rPr>
        <w:t>E. 4.2.2</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 Bern 1999, S. 76 N 10.04).</w:t>
      </w:r>
    </w:p>
    <w:p>
      <w:r>
        <w:rPr>
          <w:b/>
        </w:rPr>
        <w:t>E. 4.2.3</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4.3</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1 ATSG).</w:t>
      </w:r>
    </w:p>
    <w:p>
      <w:r>
        <w:rPr>
          <w:b/>
        </w:rPr>
        <w:t>E. 4.4</w:t>
      </w:r>
    </w:p>
    <w:p>
      <w:r>
        <w:t>Im Sozialversicherungsrecht und somit auch im Bereich der AHV gilt, sofern das Gesetz nicht etwas Abweichendes vorsieht, das Beweismass der überwiegenden Wahrscheinlichkeit. Danach ist derjenige Sachverhalt massgebend, der von allen möglichen Geschehensabläufen der wahrscheinlichste ist (BGE 126 V 360 E. 5b, 125 V 195 E. 2, je m.w.H.). Die Beweise sind - dem Grundsatz der freien Beweiswürdigung entsprechend - frei, das heisst ohne förmliche Beweisregeln, sowie umfassend und pflichtgemäss zu würdigen (BGE 125 V 351 E. 3a).</w:t>
      </w:r>
    </w:p>
    <w:p>
      <w:r>
        <w:rPr>
          <w:b/>
        </w:rPr>
        <w:t>E. 5</w:t>
      </w:r>
    </w:p>
    <w:p>
      <w:r>
        <w:t>Die Vorinstanz hat den Antrag auf Zusprechung der beiden Kinderrenten zunächst mit der Begründung abgewiesen, der Beweis für die Wohngemeinschaft mit den beiden Stiefkindern E._______ und G._______ und deren Unterhalt sei nicht erbracht worden (SAK-act. 88). Laut Begründung des Einspracheentscheides wurde der Anspruch allein mangels Nachweis des gemeinsamen Haushaltes abgewiesen (vgl. SAK-act. 104).</w:t>
      </w:r>
    </w:p>
    <w:p>
      <w:r>
        <w:rPr>
          <w:b/>
        </w:rPr>
        <w:t>E. 5.1</w:t>
      </w:r>
    </w:p>
    <w:p>
      <w:r>
        <w:t>Der Beschwerdeführer reichte zum Nachweis der Wohngemeinschaft mit den beiden Stiefkindern erstmals mit den Anmeldeformularen (Eingang bei SAK am 4. Juni 2013) eine eidesstattliche Erklärung (vgl. SAK-act. 72) ein. Mit Verfügung vom 20. Juni 2013 trat die Verwaltung auf das Leistungsbegehren nicht ein mit der Begründung, die eidesstattliche Erklärung werde nicht anerkannt. Sie benötige eine Lebens- und Wohnsitzbescheinigung, welche von einer offiziellen Behörde ausgestellt sei (SAK-act. 74). Zusammen mit den von der Schweizerischen Botschaft ausgestellten Lebensbescheinigungen reichte er im Juli 2013 erneut eine eidesstattliche Erklärung ein, wonach er mit den Stiefkindern im gleichen Haushalt lebe und diese unterstütze (SAK-act. 81). Nachdem die SAK von der Schweizerischen Botschaft die Information erhalten hatte, dass es in der Dominikanischen Republik keine Einwohnerkontrolle oder eine andere Behörde gebe, welche den Wohnsitz bestätigen könne (SAK-act. 85), wies sie das Begehren ab, weil keine Beweise für die Wohngemeinschaft mit den beiden Stiefkindern und deren Unterhalt erbracht worden seien (SAK-act. 88). Eine Mahnung im Sinne von Art. 43 Abs. 3 ATSG erfolgte ebenso wenig wie - angesichts der Information der Schweizerischen Botschaft - eine Angabe dazu, wie der Beschwerdeführer einen Beweis hätte erbringen können.</w:t>
      </w:r>
    </w:p>
    <w:p>
      <w:r>
        <w:rPr>
          <w:b/>
        </w:rPr>
        <w:t>E. 5.2</w:t>
      </w:r>
    </w:p>
    <w:p>
      <w:r>
        <w:t>Wie die Vorinstanz im Einspracheentscheid zutreffend ausführte, ist der Nachweis des gemeinsamen Wohnsitzes unumgänglich und er lässt sich in der Regel durch eine Bestätigung des Wohnsitzes des örtlichen Einwohneramtes erbringen. Gibt es keine Einwohnerkontrolle, die den Wohnsitz bestätigen kann, muss die Verwaltung dem Leistungsansprecher die Möglichkeit geben, den Beweis auf andere Weise zu erbringen. Ansonsten verletzt sie den Grundsatz der freien Beweiswürdigung.</w:t>
      </w:r>
    </w:p>
    <w:p>
      <w:r>
        <w:rPr>
          <w:b/>
        </w:rPr>
        <w:t>E. 5.3</w:t>
      </w:r>
    </w:p>
    <w:p>
      <w:r>
        <w:t>Vorliegend gibt es aufgrund der Akten keine Hinweise, welche Zweifel daran begründen könnten, dass der Beschwerdeführer mit seiner Ehefrau und deren Tochter G._______ nicht im gemeinsamen Haushalt lebt. Die Würdigung der vom Beschwerdeführer eingereichten Beweismittel und die übrigen Akten lassen vielmehr einen gemeinsamen Haushalt als überwiegend wahrscheinlich erscheinen, womit der Beweis als erstellt zu gelten hat (vgl. oben E. 4.4).</w:t>
      </w:r>
    </w:p>
    <w:p>
      <w:r>
        <w:rPr>
          <w:b/>
        </w:rPr>
        <w:t>E. 5.4</w:t>
      </w:r>
    </w:p>
    <w:p>
      <w:r>
        <w:t>Nicht weiter abgeklärt hat die Vorinstanz, ob die weiteren Voraussetzungen für die Zusprache einer Pflegekinderrente für die Stieftochter G._______ erfüllt sind, namentlich die Unentgeltlichkeit des Pflegekindverhältnisses beziehungsweise die Frage, ob der Beschwerdeführer für den Unterhalt der Stieftochter aufkommt. Unter Aufhebung des angefochtenen Entscheides ist die Sache daher zur Vervollständigung des rechtserheblichen Sachverhalts und Neubeurteilung an die Vorinstanz zurückzuweisen. In diesem Sinne ist die Beschwerde gutzuheissen.</w:t>
      </w:r>
    </w:p>
    <w:p>
      <w:r>
        <w:rPr>
          <w:b/>
        </w:rPr>
        <w:t>E. 6</w:t>
      </w:r>
    </w:p>
    <w:p>
      <w:r>
        <w:t>Das Verfahren ist kostenlos (Art. 85bis Abs. 2 AHVG), weshalb keine Verfahrenskosten zu erheben sind. Dem obsiegenden, nicht anwaltlich vertretenen Beschwerdeführer sind keine verhältnismässig hohen Kosten entstanden, weshalb von der Zusprechung einer Parteientschädigung abzusehen ist (vgl.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