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C-718/2007 vom 8. Dezember 2009</w:t>
      </w:r>
    </w:p>
    <w:p>
      <w:r>
        <w:t>Bundesverwaltungsgericht, 2009-12-08, FR</w:t>
      </w:r>
    </w:p>
    <w:p>
      <w:r>
        <w:rPr>
          <w:b/>
        </w:rPr>
        <w:t xml:space="preserve">Quelle: </w:t>
      </w:r>
      <w:r>
        <w:t>https://mcp.opencaselaw.ch/entscheid/bvger_C-718_2007</w:t>
      </w:r>
    </w:p>
    <w:p>
      <w:r>
        <w:t>FR: TAF C-718/2007 du 8 décembre 2009</w:t>
      </w:r>
    </w:p>
    <w:p>
      <w:r>
        <w:t>IT: TAF C-718/2007 del 8 dicembre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ne sont donc pas applicables et les dispositions citées ci-après sont celles en vigueur jusqu'au 31 décembre 2007.</w:t>
      </w:r>
    </w:p>
    <w:p>
      <w:r>
        <w:rPr>
          <w:b/>
        </w:rPr>
        <w:t>E. 3.2</w:t>
      </w:r>
    </w:p>
    <w:p>
      <w:r>
        <w:t>Le recourant a présenté sa demande de rente le 16 septembre 2004. En dérogation à l'art. 24 LPGA, l'art. 48 al. 2 LAI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16 septembre 2003 ou si le droit à une rente était né entre cette date et le 13 décembre 2006, date de la décision attaquée marquant la limite dans le temps du pouvoir d'examen de l'autorité de recours (ATF 129 V 1 consid. 1.2 et ATF 121 V 362 consid. 1b). Toute documentation médicale ultérieure à la date de la décision attaquée ne peut être prise en compte que dans la mesure où elle permet une meilleure compréhension des atteintes à la santé du recourant à la date de la décision attaquée.</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Le recourant a versé des cotisations à l'AVS/AI pendant plus d'une année au total et remplit donc la condition de la durée minimale de cotisations. Il reste à examiner s'il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Antérieurement au 1er janvier 2004, l'assuré avait droit à un quart de rente dès une invalidité de 40%, à une demi-rente dès une invalidité de 50% et à une rente entière dès une invalidité de 66.66%.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5.3</w:t>
      </w:r>
    </w:p>
    <w:p>
      <w:r>
        <w:t>Conformément à l'art. 29 al. 1 LAI,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 Une incapacité de travail de 20 % doit être prise en compte pour le calcul de l'incapacité de travail moyenne selon l'art. 29 al. 1 let. b LAI (arrêt du Tribunal fédéral I 169/01 du 13 août 2001 consid. 2b; Jurisprudence et pratique administrative des autorités d'exécution de l'AVS/AI [Pratique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w:t>
      </w:r>
    </w:p>
    <w:p>
      <w:r>
        <w:rPr>
          <w:b/>
        </w:rPr>
        <w:t>E. 6.1</w:t>
      </w:r>
    </w:p>
    <w:p>
      <w:r>
        <w:t>L'assuré a exercé en France depuis 1994 puis en Suisse depuis 2000 une activité de peintre en bâtiment jusqu'à son accident survenu le 17 septembre 2002. Il a ensuite exercé quelques activités diverses de durée limitée. C'est en regard de son ancienne activité de peintre en bâtiment que son degré d'invalidité doit être déterminé.</w:t>
      </w:r>
    </w:p>
    <w:p>
      <w:r>
        <w:rPr>
          <w:b/>
        </w:rPr>
        <w:t>E. 6.2</w:t>
      </w:r>
    </w:p>
    <w:p>
      <w:r>
        <w:t>La notion d'invalidité, dont il est question à l'art. 8 LPGA et à l'art. 4 LAI est de nature économique/juridique, établissant une incapacité de gain permanente ou probablement de longue durée, et non médicale (ATF 127 V 294 consid. 4b)bb, ATF 116 V 246 consid. 1b; Sozialversicherungsrecht Rechtsprechung [SVR] 2009 IV n° 8 p. 16).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6.3</w:t>
      </w:r>
    </w:p>
    <w:p>
      <w:r>
        <w:t>Selon la jurisprudence,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7.1</w:t>
      </w:r>
    </w:p>
    <w:p>
      <w:r>
        <w:t>En l'espèce, l'intéressé présente principalement depuis le 17 septembre 2002 une atteinte à son bras droit, notamment au coude, et des paresthésies à quatre doigts de la main droite qui l'affectent dans son travail en raison d'une fatigabilité du bras à l'effort (cf. rapport du 3 décembre 2004 du Dr D._______de l'Unité de chirurgie de la main auprès des Hôpitaux universitaires de Genève, pce 23). Il présente également un status psychologique nécessitant un suivi depuis octobre 2005 pour un état dépressif (cf. pce 56).</w:t>
      </w:r>
    </w:p>
    <w:p>
      <w:r>
        <w:rPr>
          <w:b/>
        </w:rPr>
        <w:t>E. 7.2</w:t>
      </w:r>
    </w:p>
    <w:p>
      <w:r>
        <w:t>A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Une telle manière de procéder ne viole pas le droit d'être entendu selon l'art. 29 al. 2 Cst. (SVR 2001 IV n° 10 p. 28).</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10.1</w:t>
      </w:r>
    </w:p>
    <w:p>
      <w:r>
        <w:t>En l'espèce, l'intéressé, suite à son accident du 17 septembre 2002, subit une boursectomie le jour suivant puis, le 19 juin 2003, une intervention chirurgicale en raison, d'une part, d'une gène cicatricielle empêchant tout appui sur le coude et, d'autre part, de paresthésies palmaires cotées 2/10 survenant à l'effort affectant les doigts 1 à 4. Il subit une transposition du nerf cubital au coude et au poignet droit. Dans un rapport du 30 novembre 2004, soit près de 18 mois après l'intervention de juin 2003, le Dr D._______ indiqua que l'intéressé aurait été dans la possibilité de reprendre son activité de peintre à 50%, sous réserve de ports de charges au-dessus de la tête de plus de 25kg et de travail en hauteur et sur échelle, et d'exercer toute activité adaptée à 100%, sous réserve d'une diminution de rendement de 10-20%, notamment des activités de bureau, à compter du 18 août 2003, soit deux mois après l'intervention chirurgicale. S'agissant de sa précédente activité de peintre, le Dr C._______ n'a pas partagé cette appréciation mais a établi la possibilité pour l'assuré d'exercer sans restriction toute activité légère à compter du 3 septembre 2003. Le médecin traitant de l'assuré, le Dr E._______, attesta le 6 septembre 2005 d'une impotence du membre supérieur droit et de l'incapacité totale d'effectuer l'activité de peintre et demanda d'examiner la capacité de travail de l'assuré dans une activité de substitution dans une expertise officielle. Toutefois, dans son rapport d'examen du 4 juillet 2006, le SMR Suisse romande a confirmé sur la base de l'examen des actes de la cause la même capacité de travail du recourant telle que définie par le Dr D._______, sous réserve de la diminution de rendement de 10-20% retenue par ce médecin dans une activité adaptée à 100%. Cette appréciation, y compris la diminution de rendement, peut ainsi être retenue sous l'angle le plus favorable à l'assuré, étant précisé que l'avis du Dr E._______ ne peut remettre en question cette appréciation car il ne fait que de suggérer qu'il soit effectuée une expertise officielle et n'indique pas pour quelle raison celle du Dr D._______ serait insuffisante. L'avis en question ne contient en particulier pas d'éléments idoines susceptibles de faire apparaître l'appréciation du Dr D._______ insuffisante pour ce qui a trait à la capacité de travail résiduelle du recourant dans une activité de substitution légère.</w:t>
      </w:r>
    </w:p>
    <w:p>
      <w:r>
        <w:rPr>
          <w:b/>
        </w:rPr>
        <w:t>E. 10.2</w:t>
      </w:r>
    </w:p>
    <w:p>
      <w:r>
        <w:t>Il appert de ce qui précède qu'une capacité de travail de 100% dans une activité adaptée, avec une diminution de rendement d'au plus 20%, peut au moins être retenue à compter du 3 septembre 2003. Par ailleurs, sur le plan psychiatrique, seul un état dépressif suivi régulièrement depuis octobre 2005 a été attesté. Or un tel status n'est pas en soi constitutif d'un état invalidant au sens de la loi sur l'invalidité. Par ailleurs, rien au dossier ne justifie d'investiguer plus en détail ce status énoncé comme tel sans autres diagnostics par la Dresse F._______ dans un certificat-attestation du 9 janvier 2006 très sommaire et qui ne se prononce même pas sur la gravité de la dépression et sur une éventuelle incapacité de travail liée à l'état dépressif. Par conséquent, bien que le rapport SMR du 4 juillet 2006 paraisse n'avoir pas pris en compte ledit certificat de suivi psychiatrique car il a été communiqué à l'OAIE en octobre suivant, ce certificat n'est pas matériellement déterminant.</w:t>
      </w:r>
    </w:p>
    <w:p>
      <w:r>
        <w:rPr>
          <w:b/>
        </w:rPr>
        <w:t>E. 10.3.1</w:t>
      </w:r>
    </w:p>
    <w:p>
      <w:r>
        <w:t>Contre la décision de l'OAIE, l'intéressé ne fit valoir que le fait qu'il n'avait pu maintenir des emplois plus de quelques mois en raison de son handicap au bras droit chez un droitier. Il ne produisit aucun document médical attestant de l'aggravation de son status somatique au motif qu'il ne pouvait obtenir pour une procédure en Suisse la documentation médicale le concernant. Toutefois, ce motif n'est pas décisif au regard de l'art. 28 al. 2 LPGA qui oblige l'assuré à fournir tout renseignement/document le concernant propre à déterminer son droit à des prestations d'invalidité. En outre, le recourant n'a pas apporté la preuve de son prétendu empêchement. L'intéressé relève encore que le Dr E._______ avait indiqué qu'une expertise était nécessaire pour évaluer l'activité professionnelle de substitution qu'il pouvait exercer. Toutefois, cette expertise ne se justifiait et ne se justifie pas au vu de l'appréciation non objectivement infirmée du Dr D._______, de l'Unité chirurgie de la main aux HUG, confirmée par le SMR Suisse romande et par le Dr C._______. Il sied d'ailleurs de relever que le recourant est au bénéfice d'une scolarité secondaire et a exercé une activité de directeur technique, soit une formation et une expérience propres aux réquisits d'une activité de bureau. Dans ses écritures, le recourant énonce, en outre, qu'il pourrait exercer une activité de conseiller dans un commerce de détail, mais uniquement à 50%. Le taux d'activité de 50% préconisé par l'intéressé pour déterminer un taux d'invalidité de 66.99% (en référence à un salaire allégué de Fr. 1'750.- par mois à 50%) ne trouve cependant aucune justification au dossier.</w:t>
      </w:r>
    </w:p>
    <w:p>
      <w:r>
        <w:rPr>
          <w:b/>
        </w:rPr>
        <w:t>E. 10.4</w:t>
      </w:r>
    </w:p>
    <w:p>
      <w:r>
        <w:t>En conclusion, la documentation médicale au dossier ne permet pas de considérer comme nécessaire d'autres examens pour évaluer la capacité résiduelle de travail de l'intéressé. L'appréciation du Dr D._______, spécialiste des atteintes à la santé du recourant, et l'appréciation sur dossier du SMR remplissent les exigences d'appréciation de la diminution de capacité de travail de l'intéressé sans que d'autres rapports d'expertise ne se justifient. Enfin, la question de savoir si l'incapacité de travail du recourant dans sa dernière activité de peintre doit être estimée à 50% ou à 100% ne doit pas faire l'objet d'autres mesures d'instruction du fait que dans tous les cas le recourant peut exercer à 80% une activité adaptée à son état de santé et que celle-ci est alors déterminante en l'espèce pour évaluer son invalidité.</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Celle-ci doit résulter d'une appréciation et doit être brièvement motivée par l'administration. Le juge des assurances sociales ne peut, sans motif pertinent, substituer son appréciation à celle de l'administration (ATF 126 V 75 consid. 5).</w:t>
      </w:r>
    </w:p>
    <w:p>
      <w:r>
        <w:rPr>
          <w:b/>
        </w:rPr>
        <w:t>E. 11.3</w:t>
      </w:r>
    </w:p>
    <w:p>
      <w:r>
        <w:t>En l'espèce il y a lieu de procéder à une évaluation de l'invalidité selon la méthode générale par une comparaison de revenus entre, d'une part, le revenu effectivement ou qui aurait pu être perçu par l'assuré (pris en compte in casu valeur 2004), soit Fr. 63'623.- par année ou Fr. 5'301.91 par mois, avec, d'autre part, un revenu théorique 2004 pour des activités de substitution simples et légères non seulement du secteur 2 de la production (dont notamment les entreprises manufacturières) mais également du secteur 3 des services (comprenant en particulier les activités de représentant dans le commerce) pour des tâches simples et répétitives, ce qui lui est plus favorable dans le calcul comparatif, soit en moyenne Fr. 4721.17 (Fr. 4'853 et Fr. 4'251.- pour 40h/sem. respectivement Fr. 5'010.70 pour 41.3 h/sem. et Fr. 4'431.65 pour 41.7 h/sem. selon le temps de travail usuel de ces secteurs), sous déduction de 20% à titre de diminution de rendement (Fr. 3'776.93) et, comme l'a fait l'autorité inférieure, d'un abattement de 10%, soit Fr. 3'399.23. Or, on constate que l'assuré, du fait de son invalidité, subit une diminution de sa capacité de gain de 35.88%, soit 36% ([5'301.91 - 3'399.23] : 5'301.91 x 100 = 35.88). L'abattement de 10% du revenu avec invalidité pris en compte peut être confirmé vu notamment l'âge de l'intéressé et le fait qu'il ne peut accomplir qu'une activité de substitution légére, mais compte tenu aussi de ses limitations physiques relativement peu importantes. Par ailleurs, même les montants retenus valeurs 2004 indexés 2006 compte tenu de la date de la décision attaquée, selon les hausses de revenus intervenues par secteurs d'activités (secteur 2: 1.2/1.1%; secteur 3: 0.9/1.2% pour 2005/2006), ne permettraient pas, dans le cadre de la comparaison précitée, d'atteindre le seuil de 40%.</w:t>
      </w:r>
    </w:p>
    <w:p>
      <w:r>
        <w:rPr>
          <w:b/>
        </w:rPr>
        <w:t>E. 11.4</w:t>
      </w:r>
    </w:p>
    <w:p>
      <w:r>
        <w:t>Dans ses écritures, le recourant a évoqué un salaire de conseiller dans le commerce qu'il a estimé de Fr. 3'500.- par mois à 100%, sans fournir des plus amples informations concernant la détermination de ce salaire. Celui-ci ne peut donc être retenu à la place des salaires statistiques de l'Enquête suisse sur les salaires 2004 qui retient pour une activité simple et répétitive dans le commerce et les réparations le revenu de Fr. 4'422.- par mois pour 40 h./sem. et de Fr. 4'632.04 pour 41.9 h./sem. Par ailleurs, le recourant ne saurait se référer par comparaison au seul revenu d'un salarié dans le commerce, car d'autres activités peuvent être prises en compte (cf. considérant 11.3 du présent arrêt) pour la comparaison de revenus avec et sans invalidité.</w:t>
      </w:r>
    </w:p>
    <w:p>
      <w:r>
        <w:rPr>
          <w:b/>
        </w:rPr>
        <w:t>E. 12</w:t>
      </w:r>
    </w:p>
    <w:p>
      <w:r>
        <w:t>Dans le cadre de sa réplique, l'intéressé a contesté ne pas avoir droit à des mesures de réadaptation et d'aide au placement. Ce grief supplémentaire au recours a été réservé par celui-ci et l'intéressé a été expressément autorisé à le formuler au stade de la réplique. Le Tribunal de céans doit donc en connaître. Les mesures d'ordre professionnel de reclassement prévues par l'art. 17 LAI sont allouées selon la pratique établie des offices d'assurance invalidité, confirmée par le Tribunal fédéral, que dès à compter un taux d'invalidité de 20% au moins, taux correspondant également à la prise en compte d'une incapacité de travail relevante pour la détermination moyenne sur une année du taux d'invalidité dans le cadre d'une prétention à une rente d'invalidité (ATF 124 V 108; arrêt du Tribunal fédéral 8C_36/2009 du 15 avril 2009 consid. 4 et les références citées; Alfred Maurer / Gustavo Scartazzini / Marc Hürzeler, Bundessozialversicherungsrecht, 3ème éd., Bâle 2009, p. 169). L'intéressé présentant selon le Tribunal de céans un taux d'invalidité supérieur aux dits 20%, il pourrait y prétendre. Pour les mesures d'aide au placement au sens de l'art. 18 LAI, la jurisprudence est moins stricte. Elle exige néanmoins que la nécessité d'une aide au placement résulte des atteintes à la santé présentées par la personne assurée (arrêts du Tribunal fédéral 8C_36/2009 consid. 4, I 427/2005 du 24 mars 2006 consid. 4, SVR 2006 IV n° 45 p. 162). L'intéressé pourrait du fait de son atteinte à la santé également y prétendre. Toutefois, comme l'a relevé à juste titre l'autorité inférieure, l'intéressé, résidant en France, n'étant plus assuré à l'assurance-invalidité suisse au moment de sa demande de mesures de reclassement et d'aide au placement du fait de ses prises d'emploi en France consécutivement à son cas d'assurance, il ne peut plus prétendre de l'assurance-invalidité suisse, conformément au droit communautaire, aux mesures précitées. En effet, une personne qui a cessé son activité professionnelle en Suisse et résidant dans un Etat membre de l'UE est soumise, en vertu de l'art. 13 § 2 let. f du règlement n° 1408/71 à la législation de l'Etat membre de résidence. D'autre part, le Titre III du règlement n° 1408/71 ne contient pas de règle particulière pour ce qui est de la compétence en matière de prestations d'invalidité visant à maintenir ou améliorer la capacité de gain qui dérogerait au principe de l'applicabilité de la lex labori. Il s'ensuit qu'aucun droit à des mesures de réadaptation de l'assurance suisse ne peut être déduit du règlement n° 1408/71 (cf. ATF 132 V 53). C'est donc à juste titre que l'OAIE à nié à l'intéressé le droit à de telles mesures.</w:t>
      </w:r>
    </w:p>
    <w:p>
      <w:r>
        <w:rPr>
          <w:b/>
        </w:rPr>
        <w:t>E. 13</w:t>
      </w:r>
    </w:p>
    <w:p>
      <w:r>
        <w:t>Il appert de ce qui précède que le recours doit être rejeté et la décision attaquée confirmée.</w:t>
      </w:r>
    </w:p>
    <w:p>
      <w:r>
        <w:rPr>
          <w:b/>
        </w:rPr>
        <w:t>E. 14</w:t>
      </w:r>
    </w:p>
    <w:p>
      <w:r>
        <w:t>En l'espèce, et indépendamment de l'issue de la cause, il n'est exceptionnellement pas perçu de frais de procédure (art. 6 let. b du règlement du 21 février 2008 concernant les frais, dépens, et indemnités fixés par le Tribunal administratif fédéral [FITAF, RS 173.320.2]; cf. ancienne pratique de la Commission fédérale de recours AVS/AI, susceptible d'être reprise dans la présente cause, s'agissant de recours interjetés entre le 1er juillet 2006 et le 31 décembre 2006).</w:t>
      </w:r>
    </w:p>
    <w:p>
      <w:r>
        <w:rPr>
          <w:b/>
        </w:rPr>
        <w:t>E. 15</w:t>
      </w:r>
    </w:p>
    <w:p>
      <w:r>
        <w:t>Il n'est pas allouée de dépens (art. 64 al. 1 PA a contrario en relation avec les art. 7 ss FITAF).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