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C-7180/2007 vom 8. April 2008</w:t>
      </w:r>
    </w:p>
    <w:p>
      <w:r>
        <w:t>Bundesverwaltungsgericht, 2008-04-08, FR</w:t>
      </w:r>
    </w:p>
    <w:p>
      <w:r>
        <w:rPr>
          <w:b/>
        </w:rPr>
        <w:t xml:space="preserve">Quelle: </w:t>
      </w:r>
      <w:r>
        <w:t>https://mcp.opencaselaw.ch/entscheid/bvger_C-7180_2007</w:t>
      </w:r>
    </w:p>
    <w:p>
      <w:r>
        <w:t>FR: TAF C-7180/2007 du 8 avril 2008</w:t>
      </w:r>
    </w:p>
    <w:p>
      <w:r>
        <w:t>IT: TAF C-7180/2007 del 8 aprile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X._______ a qualité pour recourir (cf. art. 48 al. 1 PA). Le recours, présenté dans la forme et les délais prescrits par la loi, est recevable (cf. art. 50 et 52 PA).</w:t>
      </w:r>
    </w:p>
    <w:p>
      <w:r>
        <w:rPr>
          <w:b/>
        </w:rPr>
        <w:t>E. 2.1</w:t>
      </w:r>
    </w:p>
    <w:p>
      <w:r>
        <w:t>La jurisprudence a déduit du droit d'être entendu, garanti par l'art. 29 al. 2 de la Constitution fédérale de la Confédération suisse du 18 avril 1999 (Cst., RS 101) et défini par les dispositions spéciales de procédure (tel l'art. 35 PA), le devoir pour l'autorité de motiver sa décision, afin que ses destinataires et toutes les personnes intéressées puissent la comprendre, l'attaquer utilement s'il y a lieu et que l'instance de recours soit en mesure, si elle est saisie, d'exercer pleinement son contrôle (cf. ATF 129 I 232 consid. 3.2 p. 236s., ATF 126 I 97 consid. 2b p. 102s., ATF 122 IV 8 consid. 2c p. 14, ATF 112 Ia 107 consid. 2b p. 109s. ; cf. également arrêt du Tribunal fédéral 2A.496/2006 / 2A.497/2006 du 15 octobre 2007 consid. 5.1.1). Il y a également violation du droit d'être entendu si l'autorité ne satisfait pas à son devoir minimum d'examiner et de traiter les problèmes pertinents (cf. ATF 126 I 97 consid. 2b p. 102s., ATF 122 IV 8 consid.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(cf. ATF précités).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(cf. ATF 112 Ia 107 consid. 2b p. 109s. ; cf. également Arrêt du Tribunal fédéral 2A.496/2006 / 2A.497/2006 précité).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 Le droit d'obtenir une décision motivée est une garantie constitutionnelle de nature formelle, dont la violation entraîne en principe l'annulation de la décision attaquée indépendamment des chances de succès du recours sur le fond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Toutefois, lorsque le vice est constitutif d'une grave violation de procédure, il est exclu que l'autorité de recours le répare, motif pris du principe de l'économie de la procédure (cf. JICRA 1994 no 1 consid. 6 p. 15ss ; Lorenz Kneubühler, Gehörverletzung und Heilung, in Zbl 3/1998, p. 112ss).</w:t>
      </w:r>
    </w:p>
    <w:p>
      <w:r>
        <w:rPr>
          <w:b/>
        </w:rPr>
        <w:t>E. 2.2</w:t>
      </w:r>
    </w:p>
    <w:p>
      <w:r>
        <w:t>Par ailleurs,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Jurisprudence des autorités administratives de la Confédération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w:t>
      </w:r>
    </w:p>
    <w:p>
      <w:r>
        <w:rPr>
          <w:b/>
        </w:rPr>
        <w:t>E. 3.1</w:t>
      </w:r>
    </w:p>
    <w:p>
      <w:r>
        <w:t>Dans le cas particulier, l'ODM n'a donné à aucun moment à l'intéressé l'occasion de se déterminer sur les motifs de l'interdiction d'entrée qu'il envisageait de prendre à son endroit. Certes, le SPOP-VD a indiqué, dans sa décision du 28 décembre 2005 (cf. rubrique « remarque » p. 2), que l'ODM prononcerait vraisemblablement une décision d'interdiction d'entrée en Suisse à l'endroit de X._______, compte tenu des infractions commises, et que ce dernier avait la possibilité de « faire part de ses objections éventuelles par écrit dans les 10 jours dès que la décision sera définitive et exécutoire ». Cependant, près de deux années se sont écoulées entre la décision précitée du SPOP-VD et le prononcé de la décision querellée et l'autorité intimée n'a pas accordé au recourant le droit d'être entendu avant son prononcé du mois de septembre 2007. La question de savoir si semblable omission justifierait déjà à elle seule, au vu des circonstances du cas, l'annulation de l'interdiction d'entrée en Suisse peut toutefois rester indécise, dans la mesure où il ressort clairement de l'examen du dossier de l'ODM qu'en rendant la décision du 19 septembre 2007, cet office n'a pas établi les faits de la cause de manière appropriée et n'a pas procédé à un examen de la situation de l'intéressé, ni à une pesée des intérêts en présence. En tout état de cause, un tel examen ne ressort ni des pièces du dossier, ni du texte même de la décision attaquée.</w:t>
      </w:r>
    </w:p>
    <w:p>
      <w:r>
        <w:rPr>
          <w:b/>
        </w:rPr>
        <w:t>E. 3.2</w:t>
      </w:r>
    </w:p>
    <w:p>
      <w:r>
        <w:t>S'agissant de l'établissement des faits de la cause, il figure encore au dossier la décision d'interdiction d'entrée en Suisse du 26 octobre 2005, établie au nom d'alias de l'intéressé (Y._______). Même s'il ressort du dossier que cette décision a été « révoquée » ou annulée le 19 septembre 2007, force est de relever que l'ODM s'est limité dans sa nouvelle décision du même jour à reprendre de manière schématique la motivation figurant dans la décision du 26 octobre 2005, sans prendre en considération l'évolution de la situation familiale et personnelle de l'intéressé. Ce faisant, l'autorité intimée n'a manifestement pas établi les faits de manière exacte et pertinente avant de statuer. Pour ce motif déjà, la décision querellée devrait être annulée.</w:t>
      </w:r>
    </w:p>
    <w:p>
      <w:r>
        <w:rPr>
          <w:b/>
        </w:rPr>
        <w:t>E. 3.3</w:t>
      </w:r>
    </w:p>
    <w:p>
      <w:r>
        <w:t>Quant à l'opportunité de la décision attaquée et de la prise en considération des intérêts en présence, il convient de relever que l'examen de la protection accordée par l'art. 8 CEDH au respect de la vie privée et familiale est en premier lieu lié à la question de l'octroi ou du renouvellement de l'autorisation de séjour, domaine qui est de la compétence primaire des autorités cantonales de police des étrangers, lesquelles se sont d'ailleurs dûment prononcées sur cette question (cf. décision du SPOP-VD du 28 décembre 2005 et arrêt du Tribunal administratif vaudois du 15 mars 2007), et qui est extrinsèque à l'objet du présent litige. Toutefois, s'agissant d'une mesure qui, comme dans le cas d'espèce, interdit l'accès au territoire suisse d'une personne mariée à une ressortissante suisse et père de trois enfants suisses, il aurait manifestement appartenu à l'autorité chargée de statuer d'examiner de manière approfondie si l'étranger dont elle entendait prononcer l'éloignement bénéficiait d'une relation avec une ou des personnes de sa famille disposant d'un droit de présence durable en Suisse. Ladite autorité aurait dû, en particulier et dans ce contexte, effectuer une pesée des intérêts en présence. Plus l'atteinte aux biens juridiquement protégés est potentiellement importante, plus cet examen nécessite d'être fait de manière approfondie. Or, force est de constater que la décision querellée ne mentionne aucunement la disposition conventionnelle précitée, pas plus qu'elle ne fait référence à la famille même du recourant. Certes,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C'est ce que soutient l'autorité intimée dans son préavis du 9 novembre 2007. Cependant, il est à noter que la détermination de l'ODM ne répond pas à toutes les questions décisives qui se posent in casu. On ne saurait considérer, en particulier, que l'autorité de première instance a examiné de manière approfondie la situation personnelle et familiale de l'intéressé suite à son mariage en 2004, les relations entretenues avec l'épouse et les enfants, ni même les conséquences concrètes de la mesure envisagée. Au regard notamment de la gravité des conséquences de sa décision pour le recourant, l'ODM aurait ainsi dû se prononcer de manière circonstanciée sur toutes ces questions. La motivation lapidaire de la décision querellée constitute une grave violation des règles de procédure au sens de la jurisprudence citée (cf. ch. 2.2). Un tel manquement ne saurait être considéré comme réparé dans le cadre de l'échange d'écritures. En effet, le TAF, qui statue définitivement (cf. ch. 1.1), outrepasserait ses compétences s'il examinait de son propre chef et se prononçait, en instance unique, sur des points déterminants qui n'ont pas été examinés par l'autorité de première instance dans la décision querellée. Au demeurant, la question peut réellement se poser de savoir si dans le cas d'espèce l'utilisation d'un formulaire pré-imprimé est adapté à la nature d'une telle décision.</w:t>
      </w:r>
    </w:p>
    <w:p>
      <w:r>
        <w:rPr>
          <w:b/>
        </w:rPr>
        <w:t>E. 4</w:t>
      </w:r>
    </w:p>
    <w:p>
      <w:r>
        <w:t>Au vu de ce qui précède, le recours doit être admis, la décision querellée annulée et l'affaire renvoyée à l'autorité de première instance pour nouvelle décision dûment motivée.</w:t>
      </w:r>
    </w:p>
    <w:p>
      <w:r>
        <w:rPr>
          <w:b/>
        </w:rPr>
        <w:t>E. 5</w:t>
      </w:r>
    </w:p>
    <w:p>
      <w:r>
        <w:t>Dans la mesure où le Tribunal de céans renvoie l'affaire à l'autorité intimée pour nouvelle décision, la demande de restitution de l'effet suspensif au recours devient sans objet.</w:t>
      </w:r>
    </w:p>
    <w:p>
      <w:r>
        <w:rPr>
          <w:b/>
        </w:rPr>
        <w:t>E. 6</w:t>
      </w:r>
    </w:p>
    <w:p>
      <w:r>
        <w:t>Compte tenu de l'issue de la cause, il n'est pas perçu de frais de procédure (cf. art. 63 al. 1 [a contrario] à 3 PA). Il convient par ailleurs d'allouer au recourant des dépens pour les frais indispensables et relativement élevés occasionnés par la présente procédure de recours (cf. art. 64 al. 1 PA, en relation avec l'art. 7 al. 1, l'art. 10 et l'art. 14 al. 2 du Règlement concernant les frais, dépens et indemnités fixés par le Tribunal administratif fédéral du 11 décembre 2006 [FITAF, RS 173.320.2]). En l'absence de note de frais, compte tenu du travail accompli par le mandataire de l'intéressé, qui est intervenu dans la présente procédure après les déterminations de l'ODM sur le recours interjeté par le recourant lui-même, du tarif applicable en l'espèce et du degré de difficulté de la présente cause au plan juridique, cette indemnité, à titre de dépens, sera fixée à Fr. 800.- (TVA comprise). Vu ce qui précède, la demande d'assistance judiciaire, présentée par le recourant lui-même dans son mémoire du 21 octobre 2007,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