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C-7178/2013 vom 16. Mai 2014</w:t>
      </w:r>
    </w:p>
    <w:p>
      <w:r>
        <w:t>Bundesverwaltungsgericht, 2014-05-16, FR</w:t>
      </w:r>
    </w:p>
    <w:p>
      <w:r>
        <w:rPr>
          <w:b/>
        </w:rPr>
        <w:t xml:space="preserve">Quelle: </w:t>
      </w:r>
      <w:r>
        <w:t>https://mcp.opencaselaw.ch/entscheid/bvger_C-7178_2013</w:t>
      </w:r>
    </w:p>
    <w:p>
      <w:r>
        <w:t>FR: TAF C-7178/2013 du 16 mai 2014</w:t>
      </w:r>
    </w:p>
    <w:p>
      <w:r>
        <w:t>IT: TAF C-7178/2013 del 16 maggio 2014</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sur opposition prises par la Caisse suisse de compensation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Une décision qui n'a fait l'objet d'aucune notification est inexistante (ATF 122 I 97 consid. 3b). Son inexistence peut être établie en principe en tout temps; en l'occurrence le délais de recours de 30 jours à compter du jour suivant la notification selon l'art. 50 PA ne peut courir. Une décision effectivement notifiée mais dont la notification a été entachée d'irrégularité n'est pas nulle mais annulable; en tous les cas la notification irrégulière ne doit entraîner aucun préjudice pour l'intéressé (art. 49 al. 3 LPGA).</w:t>
      </w:r>
    </w:p>
    <w:p>
      <w:r>
        <w:rPr>
          <w:b/>
        </w:rPr>
        <w:t>E. 2</w:t>
      </w:r>
    </w:p>
    <w:p>
      <w:r>
        <w:t>Selon l'art. 5 al. 1 PA sont considérées comme décisions les mesures prises par les autorités dans des cas d'espèce, fondées sur le droit public fédéral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L'al. 2 suivant précise que les décisions sur opposition (art. 30 al. 2 let. b et 74 PA) sont également des décisions. La décision est destinée à produire des effets juridiques. Elle règle de façon obligatoire la situation juridique de l'administré dans une situation concrète soit en créant des droits et/ou en imposant des obligations, soit en constatant leur existence. Ce n'est que lorsque la décision devient définitive que l'autorité peut se fonder sur elle et l'exécuter sans avoir besoin de recourir à d'autres mesures (Piermarco Zen-Ruffinen, Droit administratif, 2ème éd., 2013, n° 491 ss).</w:t>
      </w:r>
    </w:p>
    <w:p>
      <w:r>
        <w:rPr>
          <w:b/>
        </w:rPr>
        <w:t>E. 3</w:t>
      </w:r>
    </w:p>
    <w:p>
      <w:r>
        <w:t>La décision déploie ses effets juridiques en principe dès sa notification (Moor/Poltier, Droit administratif II, 3ème éd. 2011, p. 359), laquelle est la communication de l'acte administratif à son destinataire ou au représentant de celui-ci (arrêt du TAF A-2784/2010 du 9 septembre 2010 consid. 2.1). Excepté le cas de communication par voie de publication (art. 36 PA), de règle la décision est communiquée par écrit (art. 34 al. 1 PA). Sauf disposition légale imposant la notification par pli recommandé, la notification par pli postal normal peut avoir lieu, mais la preuve de l'effectivité de celle-ci appartient à l'administration. La notification peut être faite par voie électronique aux parties qui ont accepté cette forme de communication. La décision comporte dans ce cas une signature électronique reconnue (art. 34 al. 1bis PA). La notification effective rend la décision juridiquement opposable à son destinataire (Moor/Poltier, p. 356; Thierry Tanquerel, Manuel de droit administratif, 2011, n° 1565; Jérome Candrian, Introduction à la procédure administrative fédérale, 2013, n° 30). Par parallélisme il appartient à l'administré, cas échéant, d'apporter le preuve d'avoir recouru en temps utile.</w:t>
      </w:r>
    </w:p>
    <w:p>
      <w:r>
        <w:rPr>
          <w:b/>
        </w:rPr>
        <w:t>E. 4</w:t>
      </w:r>
    </w:p>
    <w:p>
      <w:r>
        <w:t>La preuve de la notification incombe à l'autorité (ATF 129 I 8 consid. 2; Moor/Poltier, p. 352; Candrian, n° 71). De manière générale la notification d'un acte administratif ou judiciaire obéit au principe de la réception. Ce qui implique que l'acte parvienne dans la sphère d'influence du destinataire et que ce dernier, en organisant normalement ses affaires, soit à même d'en prendre connaissance. Il n'est par contre pas nécessaire que le destinataire ait personnellement en main l'acte, encore moins qu'il en prenne effectivement connaissance (ATF 109 Ia 15; Tanquerel, n° 1570). Conformément au principe de la bonne foi, si l'administré a été empêché sans sa faute de recevoir la communication (vacances, service militaire, changement de domicile), alors qu'il n'avait aucune raison de s'attendre à une communication (pas de procédure en cours), la notification ne déploie pas ses effets (Moor/Poltier, p. 353; Candrian, n° 30; Tanquerel, n° 1571). Implicitement l'intéressé qui se sait être impliqué dans une procédure et qui doit s'absenter de son domicile ou qui envisage de s'en absenter pour plusieurs jours doit prendre toutes mesures utiles afin que les communications qui lui sont adressées durant son absence lui parviennent. Il doit au besoin communiquer à l'administration son absence et l'inviter à reporter pour un temps raisonnable ses communications ou lui faire connaître un représentant.</w:t>
      </w:r>
    </w:p>
    <w:p>
      <w:r>
        <w:rPr>
          <w:b/>
        </w:rPr>
        <w:t>E. 5</w:t>
      </w:r>
    </w:p>
    <w:p>
      <w:r>
        <w:t>S'agissant des envois par pli recommandé, outre le principe de notification le jour de réception effective ou à l'échéance du délai de garde par la poste de 7 jours suite à une première tentative de distribution (cf. Tanquerel, n° 1571; Moor/Poltier, p. 353), il y a présomption de fait - réfragable - selon laquelle, d'une part, l'employé postal a correctement inséré l'avis de retrait dans la boîte à lettres ou la case postale du destinataire et, d'autre part, que la date de dépôt telle qu'elle figure sur la liste des notifications est exacte. Si le destinataire ne peut mettre en doute par des allégués sérieux la présomption de fait, il doit se laisser opposer la notification, à savoir le fait que l'acte a été dans sa sphère d'influence et qu'il dépendait de lui d'en prendre connaissance (cf. arrêt du TF 1A.339/2006 du 31 juillet 2006 consid. 4.2; arrêts du TAF A-3390/2011 du 1er février 2012 consid. 2.1 et A-5707/2011 du 5 janvier 2012 consid. 2.2; Candrian, n° 71). C'est dans ce contexte que l'administration peut également faire valoir la preuve d'un envoi recommandé et le temps nécessaire à l'acheminement de son courrier dans un pays étranger. S'agissant des envois par pli simple, il n'est même pas démontrable que l'administration a bien envoyé l'acte dont elle se prévaut, partant le renvoi à des durées d'acheminement n'a pas lieu d'être à moins que de forts indices soient parallèlement évoqués que le destinataire a reçu l'acte en question en ce sens que l'indice de la réception dans un certain délai s'inscrive dans un faisceau d'indices.</w:t>
      </w:r>
    </w:p>
    <w:p>
      <w:r>
        <w:rPr>
          <w:b/>
        </w:rPr>
        <w:t>E. 6</w:t>
      </w:r>
    </w:p>
    <w:p>
      <w:r>
        <w:t>Des écritures des parties se pose la question de savoir si l'administration peut se fonder sur le fait que l'intéressé a eu connaissance des décisions sur opposition des 4 juin 2012 et 10 juillet 2013 au moins par le courriel du 28 octobre 2013 et que, compte tenu du fait que l'intéressé n'aurait donné suite à ce courriel qu'en date du 9 décembre 2013, sa réaction serait tardive et ne permettrait pas une restitution de délai. Ce à quoi s'est opposé le recourant en faisant valoir que la communication du 28 octobre 2013 n'avait pas indiqué qu'il avait 30 jours pour interjeter recours contre ces décisions sur opposition. En soi, bien que le cas d'espèce ne relève pas d'une communication par voie électronique prévue par les modalités applicables à l'art. 34 al. 1bis PA avec signature électronique, la position de la CSC n'est pas dénuée de pertinence car il peut être retenu selon l'expérience de la vie que celui qui s'adresse par courriel à l'administration (in casu le 23 octobre 2013) peut s'attendre à une réponse et est dans l'attente d'une réponse (in casu celle du 28 octobre 2013). Dès lors l'intéressé devrait être reconnu comme ayant été en possession des décisions sur opposition au moins à fin octobre 2013. Toutefois c'est là une supposition que les actes de la cause, notamment le courriel de l'intéressé du 9 décembre 2013, ne permettent pas de confirmer par un fait, un allégué déterminant dans ledit courriel ni ensuite dans les pièces au dossier. Dès lors pour le Tribunal de céans la communication du 28 octobre 2013 par courriel ne permet pas de retenir le début d'un nouveau délai de recours qui n'aurait pas été utilisé, ce d'autant plus, comme l'a relevé l'intéressé, qu'il n'a pas été mis expressément au bénéfice d'un délai de 30 jours pour réagir à ce courriel après notamment un accusé de lecture.</w:t>
      </w:r>
    </w:p>
    <w:p>
      <w:r>
        <w:rPr>
          <w:b/>
        </w:rPr>
        <w:t>E. 7</w:t>
      </w:r>
    </w:p>
    <w:p>
      <w:r>
        <w:t>Vu ce qui précède il y a lieu de retenir l'inexistence des décisions sur opposition des 4 juin 2012 et 10 juillet 2013 et implicitement, faute de décisions sur opposition attaquables (cf. le consid. 1.1), l'irrecevabilité du recours. Il sied de relever qu'il ne paraît pas, au vu du dossier, que l'intéressé ait eu connaissance de la lettre du 3 août 2011 (pce 29) précisant les documents qui lui étaient demandés. Vu les décisions sur opposition de taxation de cotisations 2011 et 2012 fondées sur celles de 2009 et 2010, qui ne sauraient être maintenues, l'assuré doit être à nouveau invité par pli recommandé avec avis de réception de fournir en un envoi pour les années 2009 à 2012 tous les éléments nécessaires à l'établissement des taxations de cotisations. Ensuite de nouvelles décisions de taxation de cotisations seront rendues avec un décompte établissant clairement pour l'assuré les montants dont il doit s'acquitter pour chacune des années 2009 à 2012 afin de lui permettre de déterminer son effort financier compte tenu de ses moyens financiers et de l'ouverture de son droit à la rente de vieillesse en 2014.</w:t>
      </w:r>
    </w:p>
    <w:p>
      <w:r>
        <w:rPr>
          <w:b/>
        </w:rPr>
        <w:t>E. 8</w:t>
      </w:r>
    </w:p>
    <w:p>
      <w:r>
        <w:t>Il n'est pas perçu de frais de procédure (art. 85bis al. 2 LAVS).</w:t>
      </w:r>
    </w:p>
    <w:p>
      <w:r>
        <w:rPr>
          <w:b/>
        </w:rPr>
        <w:t>E. 9</w:t>
      </w:r>
    </w:p>
    <w:p>
      <w:r>
        <w:t>Vu l'issue de la procédure il y a lieu de considérer que le recourant a eu gain de cause, mais, n'ayant pas agi en étant représenté par un mandataire professionnel, ni n'ayant eu des frais indispensables et relativement élevés, il ne saurait se voir allouer une indemnité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