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C-7171/2013 vom 25. Juni 2015</w:t>
      </w:r>
    </w:p>
    <w:p>
      <w:r>
        <w:t>Bundesverwaltungsgericht, 2015-06-25, DE</w:t>
      </w:r>
    </w:p>
    <w:p>
      <w:r>
        <w:rPr>
          <w:b/>
        </w:rPr>
        <w:t xml:space="preserve">Quelle: </w:t>
      </w:r>
      <w:r>
        <w:t>https://mcp.opencaselaw.ch/entscheid/bvger_C-7171_2013</w:t>
      </w:r>
    </w:p>
    <w:p>
      <w:r>
        <w:t>FR: TAF C-7171/2013 du 25 juin 2015</w:t>
      </w:r>
    </w:p>
    <w:p>
      <w:r>
        <w:t>IT: TAF C-7171/2013 del 25 giugno 2015</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Adressatin der angefochtenen Verfügung vom 3. Dezember 2013 (act. 87) ist die Beschwerdeführerin berührt und hat ein schutzwürdiges Interesse an deren Aufhebung oder Änderung (vgl. Art. 59 ATSG). Nachdem auch der Kostenvorschuss fristgerecht geleistet worden ist, ergibt sich zusammenfassend, dass sämtliche Prozessvoraussetzungen erfüllt sind. Auf die Beschwerde ist daher einzutreten.</w:t>
      </w:r>
    </w:p>
    <w:p>
      <w:r>
        <w:rPr>
          <w:b/>
        </w:rPr>
        <w:t>E. 1.4</w:t>
      </w:r>
    </w:p>
    <w:p>
      <w:r>
        <w:t>Anfechtungsobjekt bildet die Verfügung vom 3. Dezember 2013, mit welcher die mit Verfügung vom 4. Januar 2010 mit Wirkung ab 1. Juli 2009 zugesprochene halbe Invalidenrente (act. 53) bestätigt worden war (act. 87). Während die Beschwerdeführerin in erster Linie eine wesentliche Verschlechterung des Gesundheitszustandes geltend gemacht resp. eine ganze IV-Rente beantragt hatte (B-act. 1), vertrat die Vorinstanz die Ansicht, dass die Überprüfung des IV-Grades anhand der vorliegenden medizinischen Akten keine anspruchsbeeinflussende Änderung ergeben habe (act. 87). Streitig und zu prüfen ist demnach, ob sich der Gesundheitszustand der Versicherten in rentenrelevanter Weise verschlechtert hat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die Beschwerdeführerin als serbische Staatsangehörige findet demnach weiterhin das schweizerisch-jugoslawische Sozialversicherungsabkommen vom 8. Juni 1962 Anwendung (vgl. Urteil des Bundesverwaltungsgerichts [BVGer] C-4828/2010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der Beschwerdeführerin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Im vor­liegenden Verfahren fin­den demnach grundsätzlich jene Vor­schriften Anwendung, die spätestens beim Erlass der Verfü­gung vom 3. Dezember 2013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2007 5155]). Mit Blick auf das Datum der angefochtenen Verfügung (3. Dezember 2013) gelangen ebenfalls die Normen des vom Bundesrat auf den 1. Januar 2012 in Kraft gesetzten ersten Teils der 6. IV-Revision (IV-Revision 6a) zur Anwendung.</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des EVG stellt diese Regelung nicht eine blosse Auszah­lungsvorschrift, sondern eine be­sondere Anspruchsvoraussetzung dar (BGE 121 V 275 E. 6c).</w:t>
      </w:r>
    </w:p>
    <w:p>
      <w:r>
        <w:rPr>
          <w:b/>
        </w:rPr>
        <w:t>E. 2.5</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Die Feststellung einer revisionsbegründenden Veränderung erfolgt durch eine Gegenüberstellung eines vergangenen und des aktuellen Zustandes. Gegenstand des Beweises ist somit das Vorhandensein einer entscheidungserheblichen Differenz in den medizinischen Unterlagen zu entnehmenden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2013 IV Nr. 44 S. 135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Sofern RAD-Untersuchungsberichte den Anforderungen an ein ärztliches Gutachten (BGE 125 V 351 E. 3a) genügen, auch hinsichtlich der erforderlichen ärztlichen Qualifikationen, haben sie einen vergleichbaren Beweiswert wie ein anderes Gutachten (SVR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Vorliegend ist im Zusammenhang mit der zeitlichen Vergleichsbasis der im Zeitpunkt der ursprünglichen Rentenverfügung vom 4. Januar 2010 vorgelegene medizinische Sachverhalt mit demjenigen zur Zeit der angefochtenen Revisionsverfügung vom 3. Dezember 2013 zu vergleichen (vgl. hierzu BGE 130 V 343 E. 3.5.2, 125 V 368 E. 2, SVR 2010 IV Nr. 53 S. 166 E. 3.1).</w:t>
      </w:r>
    </w:p>
    <w:p>
      <w:r>
        <w:rPr>
          <w:b/>
        </w:rPr>
        <w:t>E. 3.1</w:t>
      </w:r>
    </w:p>
    <w:p>
      <w:r>
        <w:t>Die Vorinstanz stützte sich im Rahmen des Erlasses der Verfügung vom 4. Januar 2010 insbesondere auf die Berichte von Dr. med. B._______, Facharzt für Allgemeine Medizin, vom 30. Dezember 2008 (act. 27) und 21. April 2009 (act. 36). Im Dezember 2008 diagnostizierte Dr. med. B._______ - gestützt auf den Bericht des Neuropsychiaters Dr. med. C._______ vom 17. Juli 2008 (act. 25) - zur Hauptsache eine Myasthenia gravis (ICD-10: G70.0). Er attestierte der Versicherten seit dem 1. Juli 2008 eine 50%ige Arbeitsfähigkeit im Haushalt. Diese Beurteilung wurde von Dr. med. B._______ nach Vorliegen weiterer ärztlicher Berichte aus der Heimat der Versicherten im April 2009 bestätigt.</w:t>
      </w:r>
    </w:p>
    <w:p>
      <w:r>
        <w:rPr>
          <w:b/>
        </w:rPr>
        <w:t>E. 3.2</w:t>
      </w:r>
    </w:p>
    <w:p>
      <w:r>
        <w:t>Im Zusammenhang mit der angefochtenen Verfügung vom 3. Dezember 2013 dienten der Vorinstanz in medizinischer Hinsicht erneut die Stellungnahmen von Dr. med. B._______ als Entscheidbasis. In seinem Bericht vom 12. August 2013 (act. 73) diagnostizierte Dr. med. B._______ erneut eine Myasthenia gravis (ICD-10: G70.0). Er erachtete den Gesundheitszustand als stabilisiert und führte weiter aus, die gewichtige Asthénie ("asthénie importante") und die Muskelschwäche persistierten, wie dies von Dr. med. D._______ in dessen Bericht vom August 2012 (act. 70) beschrieben worden sei. Am 19. November 2013 bestätigte Dr. med. B._______ wiederum diese Diagnose und erwähnte zusätzlich mit Auswirkungen auf die Arbeitsfähigkeit lumbale degenerative Beschwerden. Weiter berichtete er, diese Beschweren änderten nichts an der 50%igen Arbeitsfähigkeit. Die Dyslipidämie und der Astigmatismus hätten keine Auswirkungen auf die Arbeitsfähigkeit im Haushalt, und es liege keine Verschlechterung der Myasthenia gravis vor. Die Versicherte sei im Haushalt weiterhin zu 50 % arbeitsunfähig (act. 86).</w:t>
      </w:r>
    </w:p>
    <w:p>
      <w:r>
        <w:rPr>
          <w:b/>
        </w:rPr>
        <w:t>E. 3.3</w:t>
      </w:r>
    </w:p>
    <w:p>
      <w:r>
        <w:t>Im Zusammenhang mit der vorliegend zu überprüfenden Rentenrevisionsverfügung liess die Beschwerdeführerin ärztliche Berichte aus ihrer Heimat ins Recht legen. In diesen Berichten wurden eine Spondylosis cervicalis C4-C5 und C5-C6 (act. 69 S. 3 und 4), eine Myasthenia gravis (ICD-10: G70.0; act. 69 S. 1 und 2, 70 S. 1 und 2, 71 S. 1 und 2, 80 S. 2 bis 4, 82, 83 und 84), eine Hyperlipidaemia mixta (ICD-10: E78.2; act. 69 S. 1 und 2, 70, 71, 80 S. 3 und 4, 83 und 84), ein Astigmatismus (ICD-10: H52.2; 69 S. 2, 71, 80 S. 4 und 84), ein Status nach Thymektomie (act. 69 S. 1, 70, 80 S. 3 und 83), eine Dorsalgie (ICD-10: M54; act. 80 S. 4), ein lumbales und zervikales Syndrom (act. 80 S. 2 und 4, act. 82), eine lumbale und zervikale Spondylose (act. 80 S. 1, 2 und 4, act. 81, act. 82) sowie eine Diskopathie L4-L5 und L5-S1 (act. 80 S. 1 und 4, act. 81 und act. 84) diagnostiziert. In diesen ärztlichen Dokumenten fehlen allerdings Angaben darüber, ob bzw. wie sich diese Diagnosen auf die Arbeits- resp. Erwerbsfähigkeit auswirken.</w:t>
      </w:r>
    </w:p>
    <w:p>
      <w:r>
        <w:rPr>
          <w:b/>
        </w:rPr>
        <w:t>E. 3.4.1</w:t>
      </w:r>
    </w:p>
    <w:p>
      <w:r>
        <w:t>Bei der Stellungnahmen von Dr. med. B._______ vom 12. August 2013 und 19. November 2013 handelt es sich um Berichte im Sinne von Art. 59 Abs. 2bis IVG (vgl. zum Sinn und Zweck dieser gesetzlichen Norm sowie zu Art. 49 IVV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3.4.2</w:t>
      </w:r>
    </w:p>
    <w:p>
      <w:r>
        <w:t>Wie bereits dargelegt wurde (vgl. E. 2.5 hiervor), kann auf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Zwar kann RAD-Stellungnahmen - auch wenn den entsprechenden Ärzten die an sich zwingende fachärztliche Ausbildung fehlt - unter gewissen Voraussetzungen ausnahmsweise Gewicht zukommen resp. könnten diese als beweiskräftig qualifiziert werden (vgl. hierzu bspw. Urteil des BVGer C-2862/2010 vom 7. Mai 2012 E. 3.3.2. mit Hinweis). Dies trifft jedoch auf die vorstehend erwähnten und zusammengefasst wiedergegebenen Stellungnahmen von Dr. med. B._______ aus folgenden Gründen nicht zu:</w:t>
      </w:r>
    </w:p>
    <w:p>
      <w:r>
        <w:rPr>
          <w:b/>
        </w:rPr>
        <w:t>E. 3.4.3</w:t>
      </w:r>
    </w:p>
    <w:p>
      <w:r>
        <w:t>Die aktenkundigen medizinischen Berichte von Dr. med. B._______ enthalten keine - auf einer Untersuchung beruhenden - Beurteilungen, welche den Beweisanforderungen an einen voll beweiskräftigen Arztbericht genügen, zumal hinsichtlich der bei der Beschwerdeführerin vorhandenen Diagnosen von Dr. med. B._______ keine fachärztlich gesicherten und somit rechtsgenüglichen Abklärungsergebnisse vorliegen. Es ist zwar nachvollziehbar, dass die bereits im Zeitpunkt der ursprünglichen Rentenzusprache vorhanden gewesene Dyslipidämie sowie der neu diagnostizierte Astigmatismus - insbesondere nach Durchführung entsprechender Korrekturmassnahmen - keinen relevanten Einfluss auf die Arbeits- resp. Leistungsfähigkeit der Beschwerdeführerin haben. Hinsichtlich der Myasthenia gravis ergibt sich, dass Dr. med. B._______ in seinem Bericht vom 12. August 2013 eine gewichtige Asthénie ("asthénie importante"; act. 73) diagnostizierte (vgl. E. 3.2 hiervor), währenddem Dr. med. D._______ am 17. August 2012 eine "Myasthenia gravis residualis" erwähnt hatte (act. 69 und 70). Unter diesem Umstand können nach Dafürhalten des Bundesverwaltungsgerichts die Auswirkungen auf die Arbeits- resp. Leistungsfähigkeit der Beschwerdeführerin ohne vorgängige Durchführung einer neuen fachärztlichen klinischen und neurophysiologischen Untersuchung unter Einbezug der somatischen Folgen der langjährigen medizinischen Myastenia gravis-Therapie nicht beurteilt werden (vgl. http://www.muskelzentrum.kssg.ch/home/informationen_fuer/krankheiten/myasthenia_gravis.html; zuletzt besucht am 2. April 2015). Auch betreffend die bei der Beschwerdeführerin vorhandene Rückenproblematik liegen keine gesicherten fachärztlichen Berichte vor, welche sich rechtsgenüglich zur Arbeits- bzw. Leistungsfähigkeit äussern. Zwar wurde bereits im September 2006 (act. 34 S. 11) und somit vor Erlass der ursprünglichen Rentenverfügung ein lumbales und zervikales Syndrom diagnostiziert. Aufgrund des Umstands, dass dieses zum damaligen Zeitpunkt nicht näher beschrieben worden ist und unter den Aspekten, dass die im Rahmen der vorliegend zu überprüfenden Rentenrevision eingereichten ärztlichen Berichte diesbezüglich ausführliche Diagnosen (Dorsalgie, lumbales und zervikales Syndrom, lumbale und zervikale Spondylose, Diskopathie L4-L5 und L5-S1; vgl. E. 3.3 hiervor) enthalten und die ursprüngliche Rentenzusprache in erster Linie aufgrund der Myasthenia gravis erfolgt war, besteht durchaus die Möglichkeit, dass sich der Gesundheitszustand hinsichtlich dieser Beschwerden rentenrelevant verschlechtert haben könnte. Aus diesen Gründen kann nicht im Sinne einer antizipierten Beweiswürdigung (vgl. hierzu BGE 131 I 153 E. 3; SVR 2007 IV Nr. 45 S. 149 E. 4; Urteil des BGer I 9/07 vom 9. Februar 2007 E. 4) auf eine zusätzliche, medizinisch nachvollziehbare und schlüssig begründete Beurteilung des Gesundheitszustands und der Arbeits- resp. Leistungsunfähigkeit der Beschwerdeführerin verzichtet werden (vgl. zum Ganzen Urteil des BGer 8C_189/2008 vom 4. Juli 2008 E. 5 mit Hinweisen), auch wenn eine oder mehrere Diagnosen für sich alleine genommen keinen Schluss auf eine gesundheitlich bedingte Einschränkung in der Arbeitsfähigkeit zulassen (vgl. BGE 132 V 65 E. 3.4 mit Hinweisen) und retrospektive Beurteilungen der Arbeitsfähigkeit schwierig sind (vgl. Urteil des EVG I 200/03 vom 26. Juli 2004 E. 4.5). Vielmehr hat die Klärung der Auswirkungen der somatischen Beschwerden auf die Arbeits- resp. Leistungsfähigkeit anlässlich einer umfassenden medizinischen Begutachtung durch entsprechend ausgebildete Fachärztinnen und/oder Fachärzte in der Schweiz zu erfolgen. Sollten die ergänzenden, zwingend durchzuführenden medizinischen Abklärungen zeigen, dass die Diagnose(n) im massgeblichen Zeitpunkt - trotz ausführlicher Diagnosestellungen nach Erlass der ursprünglichen rentenzusprechenden Verfügung - identisch geblieben sind, ist ergänzend festzuhalten, dass dies eine revisionsrechtlich erhebliche Steigerung des tatsächlichen Leistungsvermögens (Arbeitsfähigkeit) grundsätzlich nicht ausschliessen würde (vgl. hierzu auch Ulrich Meyer, Rechtsprechung des Bundesgerichts zum IVG, Zürich 1997, S. 259). Dabei gilt auch hier der Beweisgrad der überwiegenden Wahrscheinlichkeit (vgl. Urteil des BGer 9C_149/2009 vom 14. Juli 2009 E. 3.2.2).</w:t>
      </w:r>
    </w:p>
    <w:p>
      <w:r>
        <w:rPr>
          <w:b/>
        </w:rPr>
        <w:t>E. 4</w:t>
      </w:r>
    </w:p>
    <w:p>
      <w:r>
        <w:t>Nach dem Dargelegten wurde im vorliegend zu beurteilenden Rentenrevisionsverfahren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möglich, da sie in der notwendigen Erhebung der bisher ungeklärten Frage nach den tatsächlichen somatischen Leiden der Beschwerdeführerin mit Angabe der Diagnosen und die Auswirkungen auf die Arbeits- resp. Leistungsfähigkeit begründet liegt (vgl. BGE 137 V 210 E. 4.4.1.4). Es ist demnach eine zusätzliche fachärztliche klinische und neurophysiologische Begutachtung - welche insbesondere auch unter Einbezug eines Fachspezialisten für Mystenia gravis sowie der somatischen Folgen der langjährigen medizinischen Myastenia gravis-Therapie zu erfolgen hat - in der Schweiz erforderlich. Im Rahmen dieser Begutachtung sind sämtliche bisher verfassten ärztlichen Berichte - auch diejenigen, welche mit Blick auf den Verfügungszeitpunkt (vgl. hierzu BGE 130 V 138 E. 2.1) und aufgrund des auch bei Ausdehnung des Verfahrens nicht hinreichend genau abgeklärten Sachverhalts (BGE 130 V 138 E. 2.1) vorliegend keine Berücksichtigung gefunden haben - von den Expertinnen und/oder Experten zu würdigen. Diese haben sich auch zur Arbeits- resp. Leistungsfähigkeit bzw. zu den vorhandenen Einschränkungen der Beschwerdeführerin in den verschiedenen Haushaltstätigkeiten zu äussern. Nach Vorliegen der entsprechenden Ergebnisse hat die Vor-instanz eine neue Verfügung zu erlassen.</w:t>
      </w:r>
    </w:p>
    <w:p>
      <w:r>
        <w:rPr>
          <w:b/>
        </w:rPr>
        <w:t>E. 5</w:t>
      </w:r>
    </w:p>
    <w:p>
      <w:r>
        <w:t>Mit Blick auf die vorstehenden Erwägungen ist zusammenfassend festzuhalten, dass die Beschwerde vom 20. Dezember 2013 insoweit gutzuheissen ist, als die angefochtene Verfügung vom 3. Dezember 2013 aufzuheben ist und die Akten im Sinne der Erwägungen an die Vorinstanz zum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400.- nach Eintritt der Rechtskraft des vorliegenden Urteils zurückzuerstatten. Der Vorinstanz sind ebenfalls keine Verfahrenskosten aufzuerlegen (Art. 63 Abs. 2 VwVG).</w:t>
      </w:r>
    </w:p>
    <w:p>
      <w:r>
        <w:rPr>
          <w:b/>
        </w:rPr>
        <w:t>E. 6.2</w:t>
      </w:r>
    </w:p>
    <w:p>
      <w:r>
        <w:t>Die obsiegende und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1'200.-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