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C-7143/2017 vom 21. August 2018</w:t>
      </w:r>
    </w:p>
    <w:p>
      <w:r>
        <w:t>Bundesverwaltungsgericht, 2018-08-21, DE</w:t>
      </w:r>
    </w:p>
    <w:p>
      <w:r>
        <w:rPr>
          <w:b/>
        </w:rPr>
        <w:t xml:space="preserve">Quelle: </w:t>
      </w:r>
      <w:r>
        <w:t>https://mcp.opencaselaw.ch/entscheid/bvger_C-7143_2017</w:t>
      </w:r>
    </w:p>
    <w:p>
      <w:r>
        <w:t>FR: TAF C-7143/2017 du 21 août 2018</w:t>
      </w:r>
    </w:p>
    <w:p>
      <w:r>
        <w:t>IT: TAF C-7143/2017 del 21 agosto 2018</w:t>
      </w:r>
    </w:p>
    <w:p>
      <w:pPr>
        <w:pStyle w:val="Heading2"/>
      </w:pPr>
      <w:r>
        <w:t>Regeste</w:t>
      </w:r>
    </w:p>
    <w:p>
      <w:r>
        <w:t>Rentenanspruch</w:t>
      </w:r>
    </w:p>
    <w:p>
      <w:pPr>
        <w:pStyle w:val="Heading2"/>
      </w:pPr>
      <w:r>
        <w:t>Erwägungen</w:t>
      </w:r>
    </w:p>
    <w:p>
      <w:r>
        <w:rPr>
          <w:b/>
        </w:rPr>
        <w:t>E. 1</w:t>
      </w:r>
    </w:p>
    <w:p>
      <w:r>
        <w:t>Psychiatrie (depressive Störung, ICD-10 F 32.9; Verdacht auf wahnhafte Störung, ICD-10 F 22.0),</w:t>
      </w:r>
    </w:p>
    <w:p>
      <w:r>
        <w:rPr>
          <w:b/>
        </w:rPr>
        <w:t>E. 2</w:t>
      </w:r>
    </w:p>
    <w:p>
      <w:r>
        <w:t>Neurologie (unsystematischer Schwindel),</w:t>
      </w:r>
    </w:p>
    <w:p>
      <w:r>
        <w:rPr>
          <w:b/>
        </w:rPr>
        <w:t>E. 3</w:t>
      </w:r>
    </w:p>
    <w:p>
      <w:r>
        <w:t>Hals-, Nasen- und Ohrenheilkunde (chronische polypoide Pansinusitis, unsystematischer Schwindel), dass der Beizug weiterer Gutachter in das pflichtgemässe Ermessen der Vorinstanz respektive der Gutachter gestellt wird, dass medizinische Gutachten, an denen drei und mehr Fachdisziplinen beteiligt sind, bei einer Gutachterstelle zu erfolgen haben, mit welcher das Bundesamt für Sozialversicherungen eine Vereinbarung getroffen hat (Art. 72bis Abs. 1 IVV), dass die Vergabe der Aufträge nach dem Zufallsprinzip zu erfolgen hat (Art. 72bis Abs. 2 IVV), dass die Vorgaben von Art. 72bis IVV bei der anstehenden Vergabe des Begutachtungsauftrags zu beachten sind, dass die Beschwerde insofern gutzuheissen ist, als die Verfügung vom 21. November 2017 aufzuheben und die Sache mit der vorerwähnten Weisung zur Neubeurteilung an die Vorinstanz zurückzuweisen ist, dass eine Rückweisung praxisgemäss als Obsiegen der Beschwerde führenden Partei gilt (BGE 132 V 215 E. 6), dass bei diesem Verfahrensausgang keine Verfahrenskosten zu erheben sind (Art. 63 Abs. 1 und 2 VwVG), dass dem Beschwerdeführer der Kostenvorschuss von Fr. 800.- (BVGer act. 2 und 3) nach Eintritt der Rechtskraft des vorliegenden Urteils zurückzuerstatten ist, dass dem obsiegenden, nicht anwaltlich vertretenen Beschwerdeführer aufgrund der Aktenlage keine notwendigen, verhältnismässig hohen Kosten entstanden sind und ihm deshalb keine Parteientschädigung zuzusprechen ist (Art. 64 Abs. 1 VwVG, Art. 7 Abs. 1 und 4 des Reglements über die Kosten und Entschädigungen vor dem Bundesverwaltungsgericht [VGKE], SR 173.320.2), dass die unterliegende Vorinstanz hat keinen Anspruch auf Parteientschädigung hat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