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C-7139/2013 vom 28. Februar 2014</w:t>
      </w:r>
    </w:p>
    <w:p>
      <w:r>
        <w:t>Bundesverwaltungsgericht, 2014-02-28, IT</w:t>
      </w:r>
    </w:p>
    <w:p>
      <w:r>
        <w:rPr>
          <w:b/>
        </w:rPr>
        <w:t xml:space="preserve">Quelle: </w:t>
      </w:r>
      <w:r>
        <w:t>https://mcp.opencaselaw.ch/entscheid/bvger_C-7139_2013</w:t>
      </w:r>
    </w:p>
    <w:p>
      <w:r>
        <w:t>FR: TAF C-7139/2013 du 28 février 2014</w:t>
      </w:r>
    </w:p>
    <w:p>
      <w:r>
        <w:t>IT: TAF C-7139/2013 del 28 febbraio 2014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7 novembre 2013, l'Ufficio dell'assicurazione per l'invalidità per gli assicurati residenti all'estero (UAIE) ha respinto la domanda di rendita AI presentata dall'interessato l'8 novembre 2012.</w:t>
      </w:r>
    </w:p>
    <w:p>
      <w:r>
        <w:rPr>
          <w:b/>
        </w:rPr>
        <w:t>E. 2</w:t>
      </w:r>
    </w:p>
    <w:p>
      <w:r>
        <w:t>Il 16 dicembre 2013, l'interessato ha interposto ricorso contro la men-zionata decisione dell'UAIE dinanzi al Tribunale amministrativo federale (TAF) mediante il quale ha chiesto, sostanzialmente, il riconoscimento di una rendita intera d'invalidità subordinatamente tre quarti, una mezza rendita o perlomeno un quarto di rendita a decorrere dalla richiesta volta all'ottenimento di una rendita.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contro le decisioni, ai sensi dell'art. 5 della legge federale del 20 dicembre 1968 sulla procedura amministrativa (PA, RS 172.021),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dell'8 gennaio 2014 (notificata il 14 gennaio 2014; cfr. risultanze processuali e in particolare l'avviso di ricevimento postale [doc. TAF 3]), ha invitato il ricorrente a versare, entro il termine di 30 giorni a decorrere da quello successivo alla notificazione del provvedimento medesimo, un anticipo di fr. 400.-- (al netto di eventuali spese postali o bancarie a carico del ricorrente) a copertura delle presumibili spese processuali (art. 63 cpv. 4 PA), con comminatoria di inammissibilità del ricorso in caso di decorso infruttuoso del termine.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con-seguenza, il ricorso è inammissibile (art. 23 PA).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del 21 febbraio 2008 sulle tasse e sulle spese ripetibili nelle cause dinanzi al Tribunale amministrativo federale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