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C-7136/2010 vom 26. August 2011</w:t>
      </w:r>
    </w:p>
    <w:p>
      <w:r>
        <w:t>Bundesverwaltungsgericht, 2011-08-26, DE</w:t>
      </w:r>
    </w:p>
    <w:p>
      <w:r>
        <w:rPr>
          <w:b/>
        </w:rPr>
        <w:t xml:space="preserve">Quelle: </w:t>
      </w:r>
      <w:r>
        <w:t>https://mcp.opencaselaw.ch/entscheid/bvger_C-7136_2010</w:t>
      </w:r>
    </w:p>
    <w:p>
      <w:r>
        <w:t>FR: TAF C-7136/2010 du 26 août 2011</w:t>
      </w:r>
    </w:p>
    <w:p>
      <w:r>
        <w:t>IT: TAF C-7136/2010 del 26 agosto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des Bundesge­richts 2A.451/2002 vom 28. März 2003 E. 1.2, nicht publiziert in BGE 129 II 215).</w:t>
      </w:r>
    </w:p>
    <w:p>
      <w:r>
        <w:rPr>
          <w:b/>
        </w:rPr>
        <w:t>E. 3</w:t>
      </w:r>
    </w:p>
    <w:p>
      <w:r>
        <w:t>Der angefochtenen Verfügung liegt das Gesuch einer kenianischen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des Schengen-Rechts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Sechsmonatszeitraums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kenianische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Obwohl Kenia die leistungsfähigste Volkswirtschaft in der ostafrikanischen Region ausweisen kann, leben trotzdem knapp 60% der Bevölkerung unterhalb der Armutsgrenze. Ungefähr 25% der Bevölkerung müssen mit weniger als 1 US-Dollar pro Tag auskommen (Quelle: Webseite des Deutschen Auswärtigen Amtes: www.auswaertiges-amt.de &gt; Länder, Reise, Sicherheit &gt; Auswahl Kenia &gt; Wirtschaftspolitik, Stand: November 2010, besucht im Juli 2011). Geschätzte 40% [Stand 2008] der arbeitsfähigen Bevölkerung sind arbeitslos (Quelle: Webseite der Central Intelligence Agency [CIA]: www.cia.gov The World Factbook Auswahl Kenya Economy, besucht im Juli 2011). Entsprechend hoch ist der Anteil jener, die versuchen, nach Westeuropa - unter anderem auch in die Schweiz - zu gelangen, um sich unter günstigeren Bedingungen eine (bessere) Existenz aufzubauen. Diese Tendenz zur Auswanderung zeigt sich erfahrungsgemäss besonders stark bei jüngeren und ungebundenen Personen, die bereits über ein minimales soziales Beziehungsnetz im Ausland (Verwandte oder Freunde) verfügen. Im Falle der Schweiz führt dies angesichts der restriktiven Zulassungsregelung nicht selten zur Umgehung ausländerrechtlicher Bestimmungen.</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 der Gesuchstellerin handelt es sich um eine junge, unverheiratete Frau. Sie lebt zusammen mit ihrer Mutter in Eldoret. Eine Schwester der Gesuchstellerin wohnt in Mombasa. Ob in Kenia noch weitere nahe Angehörige leben, kann den Akten nicht entnommen werden. Die Gesuchstellerin dürfte in ihrer Heimat zwar familiäre Bindungen haben. Eigentliche Verpflichtungen persönlicher oder familiärer Natur, welche die Prognose einer fristgerechten und anstandslosen Wiederausreise nach einem Besuchsaufenthalt begünstigen könnten, wurden aber weder geltend gemacht noch sind solche ersichtlich.</w:t>
      </w:r>
    </w:p>
    <w:p>
      <w:r>
        <w:rPr>
          <w:b/>
        </w:rPr>
        <w:t>E. 6.2</w:t>
      </w:r>
    </w:p>
    <w:p>
      <w:r>
        <w:t>Im Zeitpunkt des Visumantrags ging die Gesuchstellerin keiner Erwerbstätigkeit nach. Sie studierte an der Moi Universität in Eldoret "Business Management". Ob sie ihr Studium - wie im Einspracheverfahren vom Beschwerdeführer in Aussicht gestellt - tatsächlich im Frühling dieses Jahres mit Erfolg abgeschlossen hat, ist nicht bekannt. Im Weiteren kann den Akten auch nicht entnommen werden, in welchen wirtschaftlichen Verhältnissen sie und ihre Angehörigen leben. Insgesamt sind daher auch in den beruflichen bzw. wirtschaftlichen Verhältnissen der Gesuchstellerin keine Besonderheiten erkennbar, welche die Gefahr eines Verbleibens in der Schweiz bzw. im Schengen-Raum über den deklarierten Zeitraum hinaus als unwahrscheinlich erscheinen liessen.</w:t>
      </w:r>
    </w:p>
    <w:p>
      <w:r>
        <w:rPr>
          <w:b/>
        </w:rPr>
        <w:t>E. 6.3</w:t>
      </w:r>
    </w:p>
    <w:p>
      <w:r>
        <w:t>Vor dem allgemeinen und persönlichen Hintergrund konnte die Vorinstanz demnach willkürfrei davon ausgehen, dass keine hinreichende Gewähr für eine fristgerechte und anstandslose Wiederausreise der Gesuchstellerin nach einem Besuchsaufenthalt besteht. An dieser Einschätzung vermögen die gegenteiligen Zusicherungen des Beschwerdeführers nichts zu ändern. Als Gastgeber kann er mit rechtlich verbindlicher Wirkung zwar für gewisse finanzielle Risiken im Zusammenhang mit dem Besuchsaufenthalt, nicht aber für ein bestimmtes Tun oder Unterlassen seines Gastes einstehen (vgl. in diesem Zusammenhang BVGE 2009/27 E. 9).</w:t>
      </w:r>
    </w:p>
    <w:p>
      <w:r>
        <w:rPr>
          <w:b/>
        </w:rPr>
        <w:t>E. 6.4</w:t>
      </w:r>
    </w:p>
    <w:p>
      <w:r>
        <w:t>Gründe für die Ausstellung eines Visums mit räumlich beschränkter Gültigkeit (vgl. E. 4.5) wurden vom Beschwerdeführer nicht geltend gemacht und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