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C-7132/2015 vom 1. November 2017</w:t>
      </w:r>
    </w:p>
    <w:p>
      <w:r>
        <w:t>Bundesverwaltungsgericht, 2017-11-01, FR</w:t>
      </w:r>
    </w:p>
    <w:p>
      <w:r>
        <w:rPr>
          <w:b/>
        </w:rPr>
        <w:t xml:space="preserve">Quelle: </w:t>
      </w:r>
      <w:r>
        <w:t>https://mcp.opencaselaw.ch/entscheid/bvger_C-7132_2015</w:t>
      </w:r>
    </w:p>
    <w:p>
      <w:r>
        <w:t>FR: TAF C-7132/2015 du 1 novembre 2017</w:t>
      </w:r>
    </w:p>
    <w:p>
      <w:r>
        <w:t>IT: TAF C-7132/2015 del 1 novembre 2017</w:t>
      </w:r>
    </w:p>
    <w:p>
      <w:pPr>
        <w:pStyle w:val="Heading2"/>
      </w:pPr>
      <w:r>
        <w:t>Regeste</w:t>
      </w:r>
    </w:p>
    <w:p>
      <w:r>
        <w:t>Droit à la rente</w:t>
      </w:r>
    </w:p>
    <w:p>
      <w:pPr>
        <w:pStyle w:val="Heading2"/>
      </w:pPr>
      <w:r>
        <w:t>Erwägungen</w:t>
      </w:r>
    </w:p>
    <w:p>
      <w:r>
        <w:rPr>
          <w:b/>
        </w:rPr>
        <w:t>E. 12</w:t>
      </w:r>
    </w:p>
    <w:p>
      <w:r>
        <w:t>Au vu de ce qui précède (cf. consid. 11 supra), le recours doit être admis et la décision du 6 octobre 2015 annulée. Le dossier doit être renvoyé à l'OAIE pour complément d'instruction par toutes les mesures propres à clarifier l'état de santé ainsi que les capacités de travail du recourant à partir du 11 février 2014 jusqu'à la date de la nouvelle décision. L'office compétent procédera à une expertise orthopédique, rhumatologique et neurologique en Suisse (aucun élément au dossier ne s'y opposant, voir arrêt du TF 9C_235/2013 du 10 septembre 2013 consid. 3.2 et les références citées ; arrêt du TAF C-4575/2013 du 3 février 2015 consid. 7.6) en mandatant des praticiens spécialisés dans ces domaines, qui se prononceront sur toutes les questions pertinentes pour pouvoir établir l'état de santé du recourant et les incidences des atteintes à la santé sur sa capacité de travail à partir du 11 février 2014, notamment en déterminant avec précision les dates des périodes d'incapacité de travail et en accompagnant cette détermination d'une motivation. Le cas échéant, l'autorité inférieure mettra en place un stage professionnel pour le recourant au sein d'un COPAI. L'OAIE rendra ensuite une nouvelle décision sur la base du dossier complété (art. 61 PA), le Tribunal fédéral ayant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(cf. ATF 137 V 210 consid. 4.4.1.4 ; arrêt du TF 8C_633/2014 du 11 décembre 2014 consid. 3.2 et 3.3).</w:t>
      </w:r>
    </w:p>
    <w:p>
      <w:r>
        <w:rPr>
          <w:b/>
        </w:rPr>
        <w:t>E. 13.1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ou déboutées (art. 63 al. 2, 1ère phrase, PA).</w:t>
      </w:r>
    </w:p>
    <w:p>
      <w:r>
        <w:rPr>
          <w:b/>
        </w:rPr>
        <w:t>E. 13.2</w:t>
      </w:r>
    </w:p>
    <w:p>
      <w:r>
        <w:t>En l'occurrence, il n'y a pas lieu de percevoir des frais de procédures dès lors que le recourant a obtenu gain de cause par le renvoi de l'affaire à l'OAIE et qu'aucun frais de procédure n'est mis à la charge de celui-ci. Partant, l'avance de frais versée par le recourant à hauteur de Fr. 400.- (TAF pce 4) lui sera restituée dès l'entrée en force du présent arrêt.</w:t>
      </w:r>
    </w:p>
    <w:p>
      <w:r>
        <w:rPr>
          <w:b/>
        </w:rPr>
        <w:t>E. 13.3</w:t>
      </w:r>
    </w:p>
    <w:p>
      <w:r>
        <w:t>Le recourant ayant agi sans l'assistance d'un mandataire professionnel et n'ayant pas démontré avoir eu à supporter des frais indispensables et relativement élevés, il ne lui est pas alloué d'indemnités à titre de dépens (art. 64 al. 1 PA et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