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C-710/2010 vom 10. Oktober 2012</w:t>
      </w:r>
    </w:p>
    <w:p>
      <w:r>
        <w:t>Bundesverwaltungsgericht, 2012-10-10, DE</w:t>
      </w:r>
    </w:p>
    <w:p>
      <w:r>
        <w:rPr>
          <w:b/>
        </w:rPr>
        <w:t xml:space="preserve">Quelle: </w:t>
      </w:r>
      <w:r>
        <w:t>https://mcp.opencaselaw.ch/entscheid/bvger_C-710_2010</w:t>
      </w:r>
    </w:p>
    <w:p>
      <w:r>
        <w:t>FR: TAF C-710/2010 du 10 octobre 2012</w:t>
      </w:r>
    </w:p>
    <w:p>
      <w:r>
        <w:t>IT: TAF C-710/2010 del 10 ottobre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 sind gemäss Art. 48 Abs. 1 VwVG zur Beschwerde legitimiert. Auf die frist- und formgerecht eingereichte Beschwerde ist unter Vorbehalt der nachfolgenden Erwägungen einzutreten (Art. 50 und 52 VwVG).</w:t>
      </w:r>
    </w:p>
    <w:p>
      <w:r>
        <w:rPr>
          <w:b/>
        </w:rPr>
        <w:t>E. 1.4</w:t>
      </w:r>
    </w:p>
    <w:p>
      <w:r>
        <w:t>Am 3. Juli 2011 ist die (dreijährige) Gültigkeitsdauer des schweizerischen Reisedokuments von A._______ abgelaufen, womit das Verfahren betreffend Entzug eines schweizerischen Ersatzreisepapiers bezüglich des Beschwerdeführers 2 gegenstandslos geworden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März 2010 trat die neue Verordnung vom 20. Januar 2010 über die Ausstellung von Reisedokumenten für ausländische Personen (RDV, SR 143.5) in Kraft, welche die bisherige Verordnung vom 27. Oktober 2004 über die Ausstellung von Reisedokumenten für ausländische Personen (RDV von 2004, AS 2004 4577)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(vgl. Urteil des Bundesverwaltungsgerichts C-4118/2009 vom 6. März 2012 E. 3 mit Hinweis).</w:t>
      </w:r>
    </w:p>
    <w:p>
      <w:r>
        <w:rPr>
          <w:b/>
        </w:rPr>
        <w:t>E. 4.1</w:t>
      </w:r>
    </w:p>
    <w:p>
      <w:r>
        <w:t>Nach Massgabe von Art. 59 Abs. 2 Bst. a AuG i.V.m.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4.2</w:t>
      </w:r>
    </w:p>
    <w:p>
      <w:r>
        <w:t>Fraglos fällt der Beschwerdeführer 1, der im Besitze einer Jahresaufenthaltsbewilligung ist, unter keine dieser Kategorien. Er kann somit keinen Anspruch auf Abgabe eines schweizerischen Ersatzreisepapiers geltend machen. Gemäss Art. 59 Abs. 1 AuG i.V.m.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6 Abs. 4 RDV im Rahmen der Gesuchsprüfung durch das BFM festgestellt.</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des Beschwerdeführers 1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w:t>
      </w:r>
    </w:p>
    <w:p>
      <w:r>
        <w:rPr>
          <w:b/>
        </w:rPr>
        <w:t>E. 5.2</w:t>
      </w:r>
    </w:p>
    <w:p>
      <w:r>
        <w:t>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6 Abs. 3 RDV). Aus diesen Ausführungen ist zu schliessen, dass von Personen, die - wie der Beschwerdeführer 1 - im Besitze einer Jahresaufenthaltsbewilligung sind, eine solche Kontaktaufnahme im Hinblick auf die Beschaffung von Reisedokumenten verlangt werden kann. Der Beschwerdeführer 1 erhebt denn auch - zu Recht - keine Einwände gegen eine Kontaktaufnahme mit den heimatlichen Behörden, hat er sich doch bereits mit der irakischen Botschaft in Verbindung gesetzt. Dieser Umstand wird bestätigt durch ein nachgereichtes Schreiben der irakischen Botschaft vom 28. Juli 2010, wo darauf hingewiesen wird, dass der Beschwerdeführer 1 dort vorgesprochen habe, um einen Antrag auf Ausstellung eines Passes einzureichen. Er ist somit nicht als schriftenlos im Sinne von Art. 6 Abs. 1 Bst. a RDV zu betrachten.</w:t>
      </w:r>
    </w:p>
    <w:p>
      <w:r>
        <w:rPr>
          <w:b/>
        </w:rPr>
        <w:t>E. 5.3</w:t>
      </w:r>
    </w:p>
    <w:p>
      <w:r>
        <w:t>Zur Frage der Unmöglichkeit der Beschaffung des beantragten Reisedokuments gilt es auszuführen, dass nach Verschärfung der Lage im Irak im Jahre 2003 die Vorinstanz während längerer Zeit davon ausging,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Auf der Internetseite der irakischen Vertretungen in Deutschland sind nunmehr Informationen zur Vorgehensweise im Hinblick auf die Beantragung (auch bei den ausländischen Vertretungen) eines Passes der neuen Serie "A" zu finden (vgl. www.iraqiembassy-berlin.de/docs/de/konsulat8_de.php, besucht im September 2012). Der Website der irakischen Botschaft in Deutschland zufolge ist derzeit eine (technische) Umrüstung bei den irakischen Vertretungen im Gange, in deren Zusammenhang das irakische Innenministerium die Anweisung erlassen hat, bis auf weiteres keine Passanträge (betreffend Pässe der Serie "A") entgegenzunehmen. Ziel dieser Umstellung ist gemäss der Website ein verbesserter Service zu Gunsten der irakischen Staatsbürger. Gemäss Auskunft der irakischen Botschaft in Bern wurden nach den Wahlen im Irak im März 2010 aufgrund der (damals) noch nicht erfolgten Regierungsbildung sowohl im Irak als auch in der Schweiz keine irakischen Pässe mehr ausgestellt (vgl. Urteil des Bundesverwaltungsgerichts C-7509/2010 vom 17. Mai 2011 E. 4.5). Laut Auskunft der irakischen Botschaft in Bern müssen in der Schweiz lebende irakische Staatsangehörige ihre Anträge betreffend Ausstellung eines Passes der Serie "A" persönlich bei der irakischen Botschaft in Paris stellen.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(vgl. zum Ganzen Urteil des Bundesverwaltungsgerichts C 2830/2011 vom 13. April 2012 E. 4.2 mit weiteren Hinweisen). Das geschilderte Vorgehen betreffend Erhalt eines irakischen Reisepasses lässt hingegen nicht den Schluss zu, die Beschaffung von ira­kischen Reisedokumenten sei zum heutigen Zeit­punkt als grundsätzlich unmöglich im Sinne von Art. 6 Abs. 1 Bst. b RDV zu betrachten, ist es doch Sache des jeweiligen Staates, das jeweilige Verfahren und dessen Ablauf zum Erhalt eines entsprechenden Reisedokuments zu bestimmen. Würde die Schweiz in einer solchen Situation auf breiter Basis von Schriftenlosigkeit ausgehen, wäre sie regelmässig gehalten, in die Passhoheit - und damit in die Souveränität eines andern Staates - einzugreifen (vgl. Urteil des Bundesverwaltungsgerichts C-3724/2010 vom 26. April 2011 E. 4.3 mit weiteren Hinweisen). Dass zur Antragstellung eine Reise nach Paris möglicherweise unumgänglich wird und diese für den Beschwerdeführer 1 mit gewissen Umständen verbunden sein könnte, hat der Betroffene gegebenenfalls in Kauf zu nehmen. Dabei obliegt es diesem, sich um die Ausstellung eines gültigen Reiseersatzdokuments bei der entsprechenden Behörde zu bemühen, um die Reise nach Frankreich antreten zu können. Dazu müsste er allerdings alle anderen oben erwähnten Vorbedingungen erfüllen, bzw. die notwendigen Vorbereitungsarbeiten bereits erledigt haben. Eine Unmöglichkeit nach Art. 6 Abs. 1 Bst. b RDV wird denn auch lediglich dann angenommen, wenn eine Person an Auslandreisen gehindert wird, weil sich die heimatlichen Behörden ohne hinreichenden Grund - und damit willkürlich - weigern, ein Reisepapier auszustellen (vgl. Urteil des Bundesverwaltungsgerichts C-1217/2009 vom 12. Juni 2009 E. 4.3.5). Für die Behauptung des Beschwerdeführers 1, seine in der Schweiz erfolgte Eheschliessung bzw. die Tatsache, dass seine Ehefrau bei der Heirat schwanger gewesen sei, stehe einer Ausstellung von heimatlichen Reisepässen entgegen, ergeben sich aus den Akten nicht die geringsten Hinweise. Vielmehr geht aus dem erwähnten Bestätigungsschreiben der irakischen Botschaft in Bern vom 28. Juli 2010 hervor, dass der Passantrag des Beschwerdeführers 1 nicht entgegen genommen werden konnte, weil die erforderlichen (Original-)Unterlagen (irakischer Personalausweis, irakische Staatsangehörigkeitsurkunde) nicht vorgewiesen wurden. Diese Bestätigung steht im Übrigen im Einklang mit der zur damaligen Zeit geltenden Praxis der irakischen Botschaft in Bern betreffend Ausstellung eines Passes der Serie "A". Aus den vorinstanzlichen Akten geht hervor, dass der Beschwerdeführer 1 den Asylbehörden als Beleg seiner Identität seine irakische Identitätskarte eingereicht hatte, welche ihm sein Vater gemäss seinen Angaben im Asylverfahren zuvor per Post aus dem Irak zugestellt hatte (vgl. Anhörungsprotokoll des Ausländeramtes des Kantons Schaffhausen vom 27. August 2002). Dieses Dokument wurde dem Beschwerdeführer 1 am 27. November 2008 vom BFM - im Rahmen der Feststellung des Erlöschens seiner vorläufigen Aufnahme - wieder zugestellt. Im Weitern ist auch davon auszugehen, dass er über einen irakischen Nationalitätenausweis verfügt, reichte er doch im Verlaufe dieses Beschwerdeverfahrens eine entsprechende Kopie dieser Urkunde, welche ihm angeblich sein Bruder aus dem Irak zugesandt hatte, zu den Akten. Zudem hatte sich der Beschwerdeführer 1 schon während des Asylverfahrens bereit erklärt, seinen Nationalitätenausweis (zusammen mit seiner Identitätskarte) den zuständigen Behörden abzugeben (vgl. Befragungsprotokoll der Empfangsstelle Kreuzlingen vom 24. Juni 2002 zu den Möglichkeiten der Beschaffung von gültigen Papieren). Von einer Unmöglichkeit der Beschaffung eines irakischen Reisedokuments im Sinne von Art. 6 Abs. 1 Bst. b RDV kann angesichts der vorstehenden Ausführungen nicht ausgegangen werden. Der Beschwerdeführer 1 ist folglich nicht als schriftenlos gemäss Art. 6 Abs. 1 RDV zu betrachten.</w:t>
      </w:r>
    </w:p>
    <w:p>
      <w:r>
        <w:rPr>
          <w:b/>
        </w:rPr>
        <w:t>E. 5.4</w:t>
      </w:r>
    </w:p>
    <w:p>
      <w:r>
        <w:t>Nach rechtskräftiger Abweisung des Asylgesuches sind die Voraussetzungen für die Abgabe eines Passes für eine ausländische Person nicht (mehr) erfüllt, weshalb die Vorinstanz das fragliche Ersatzreisepapier - der gesetzlichen Regelung entsprechend (vgl. Art. 16 Abs. 1 Bst. a RDV) - zu Recht entzogen hat.</w:t>
      </w:r>
    </w:p>
    <w:p>
      <w:r>
        <w:rPr>
          <w:b/>
        </w:rPr>
        <w:t>E. 6</w:t>
      </w:r>
    </w:p>
    <w:p>
      <w:r>
        <w:t>Die angefochtene Verfügung, soweit sie nicht gegenstandslos geworden ist, erweist sich somit im Lichte von Art. 49 VwVG als rechtmässig und die Beschwerde ist dementsprechend abzuweisen.</w:t>
      </w:r>
    </w:p>
    <w:p>
      <w:r>
        <w:rPr>
          <w:b/>
        </w:rPr>
        <w:t>E. 7</w:t>
      </w:r>
    </w:p>
    <w:p>
      <w:r>
        <w:t>Dem Ausgang des Verfahrens entsprechend werden die unterliegenden Beschwerdeführer kostenpflichtig (Art. 63 Abs. 1 VwVG). Die Verfahrenskosten sind auf Fr. 500.-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