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C-7107/2007 vom 2. Oktober 2009</w:t>
      </w:r>
    </w:p>
    <w:p>
      <w:r>
        <w:t>Bundesverwaltungsgericht, 2009-10-02, FR</w:t>
      </w:r>
    </w:p>
    <w:p>
      <w:r>
        <w:rPr>
          <w:b/>
        </w:rPr>
        <w:t xml:space="preserve">Quelle: </w:t>
      </w:r>
      <w:r>
        <w:t>https://mcp.opencaselaw.ch/entscheid/bvger_C-7107_2007</w:t>
      </w:r>
    </w:p>
    <w:p>
      <w:r>
        <w:t>FR: TAF C-7107/2007 du 2 octobre 2009</w:t>
      </w:r>
    </w:p>
    <w:p>
      <w:r>
        <w:t>IT: TAF C-7107/2007 del 2 ottobre 2009</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Le recours doit être déposé dans les trente jours suivant la notification de la décision sujette à recours. Les art. 38 à 41 de la LPGA, traitant de la computation des délais, sont applicables par analogie (art. 60 al. 1 et 2 LPGA). L'art. 48 par. 1 du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(RS 0.831.109.268.11) prescrit la notification au requérant d'une note récapitulative, dans sa langue, à laquelle sont annexées les décisions dont il fait l'objet. Les délais de recours ne commencent à courir qu'à partir de la réception de la note récapitulative par le requérant (art. 48 par. 1 i. f. du règlement [CEE] no 574/72). Selon la jurisprudence, il incombe à l'autorité qui a rendu la décision entreprise d'apporter la preuve de la notification de la décision ainsi que la date à laquelle elle est parvenue au destinataire (ATF 124 V 400). Cette preuve n'a pas pu être apportée par l'autorité inférieure dans notre occurrence. La note récapitulative (pce 58, pce 14 TAF), à laquelle a été annexée la décision portée céans, est datée du 8 août 2007. Or, le recours a été déposé le 15 octobre 2007. L'autorité de céans ne saurait dès lors exclure, avec une vraisemblance suffisante, que le recours ait été interjeté dans le délai légal de 30 trente. Partant, dans la mesure où le recours remplit les exigences de forme imposées par l'art. 52 PA, il convient d'entrer en matière sur le fond.</w:t>
      </w:r>
    </w:p>
    <w:p>
      <w:r>
        <w:rPr>
          <w:b/>
        </w:rPr>
        <w:t>E. 3.1</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Pour les mêmes raisons,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5</w:t>
      </w:r>
    </w:p>
    <w:p>
      <w:r>
        <w:t>La recourante a présenté sa demande de prestations auprès de l'assurance-invalidité suisse le 17 novembre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17 novembre 2004 (12 mois avant le dépôt de la demande) ou si le droit à une rente était né entre cette date et le 13 juin 2007, date de la décision attaquée marquant la limite dans le temps du pouvoir d'examen de l'autorité de recours (ATF 130 V 445 consid. 1.2 et 1.2.1).</w:t>
      </w:r>
    </w:p>
    <w:p>
      <w:r>
        <w:rPr>
          <w:b/>
        </w:rPr>
        <w:t>E. 6.1</w:t>
      </w:r>
    </w:p>
    <w:p>
      <w:r>
        <w:t>Selon les normes en vigueur à la date de la décision attaquée, tout requérant doit remplir cumulativement les conditions suivantes pour avoir droit à une rente de l'assurance invalidité suisse: être invalide au sens de la LPGA/LAI et avoir versé des cotisations à l'AVS/AI durant une année au moins (art. 36 al. 1 LAI).</w:t>
      </w:r>
    </w:p>
    <w:p>
      <w:r>
        <w:rPr>
          <w:b/>
        </w:rPr>
        <w:t>E. 6.2</w:t>
      </w:r>
    </w:p>
    <w:p>
      <w:r>
        <w:t>En l'occurrence, la recourante a versé des cotisations à l'AVS/AI pendant plus d'une année au total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7.3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ATF 111 V 21 consid. 2b). Une incapacité de travail de 20% doit être prise en compte pour le calcul de l'incapacité de travail moyenne selon la let. b de l'art. 29 al. 1 LAI (VSI 1998 p. 126 consid. 3c).</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7.5</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du règlement sur l'assurance-invalidité du 17 janvier 1961 (RAI, RS 831.201) précise que par travaux habituels des assurés travaillant dans le ménage, il faut entendre, notamment, l'activité usuelle dans le ménage, l'éducation des enfants ainsi que toute activité artistique ou d'utilité publique.</w:t>
      </w:r>
    </w:p>
    <w:p>
      <w:r>
        <w:rPr>
          <w:b/>
        </w:rPr>
        <w:t>E. 8.1</w:t>
      </w:r>
    </w:p>
    <w:p>
      <w:r>
        <w:t>En Suisse, la recourante a travaillé de novembre 1969 à juin 1975 en qualité d'ouvrière dans une fabrique. Rentrée dans son pays d'origine, elle a exercé à raison de 25 heures par semaine, du 28 septembre 1993 au 29 septembre 1997, la profession de débardeuse/chargeuse/emballeuse. Pour le reste, elle s'est consacrée à son domicile à ses tâches ménagères.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8.2</w:t>
      </w:r>
    </w:p>
    <w:p>
      <w:r>
        <w:t>Il faut toutefois préciser que lorsque l'assuré exerce une activité lucrative à temps partiel, l'invalidité pour cette activité est évaluée selon l'art. 16 LPGA. S'il accomplit ses travaux habituels, l'invalidité est fixée selon l'art. 28 al. 2bis LAI pour cette activité-là. Dans ce cas, les parts respectives de l'activité lucrative et de l'accomplissement des travaux habituels sont déterminées; le taux d'invalidité est calculé d'après le handicap dont la personne est affectée dans les deux domaines d'activité (art. 28 al. 2ter LAI; méthode mixte).</w:t>
      </w:r>
    </w:p>
    <w:p>
      <w:r>
        <w:rPr>
          <w:b/>
        </w:rPr>
        <w:t>E. 9</w:t>
      </w:r>
    </w:p>
    <w:p>
      <w:r>
        <w:t>En l'espèce, il est établi que la recourante souffre principalement de lombosciatalgies sur hernie discale L5-S1, de cervicalgies, d'arthrose, d'une fibromyalgie, ainsi que d'un syndrome anxio-dépressif et vertigineux. Par voie de conséquence, eu égard au fait qu'il ne s'agit pas là d'un état de santé stabilisé, la let. a de l'art. 29 al. 1 LAI est inapplicable; seule peut entrer en considération la let. b de cette disposition légale prévoyant une période d'attente d'une année à partir du début de l'incapacité de travail relevante pour la détermination du début du droit à la rente.</w:t>
      </w:r>
    </w:p>
    <w:p>
      <w:r>
        <w:rPr>
          <w:b/>
        </w:rPr>
        <w:t>E. 10</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l'OAIE, se fondant sur les prises de postition de son service médical, a considéré que la recourante ne présente pas une invalidité suffisante au sens de la loi suisse pour ouvrir le droit à une rente et a, dès lors, conclu au rejet du recours et à la confirmation de la décision attaquée. La recourante a implicitement argué du fait que la sécurité sociale espagnole lui avait reconnu une incapacité permanente et totale, partant conclu à l'annulation de la décision entreprise et à l'octroi d'une rente d'invalidité.</w:t>
      </w:r>
    </w:p>
    <w:p>
      <w:r>
        <w:rPr>
          <w:b/>
        </w:rPr>
        <w:t>E. 11.2</w:t>
      </w:r>
    </w:p>
    <w:p>
      <w:r>
        <w:t>A titre liminaire, il sied de rappeler que le degré d'invalidité d'un assuré qui prétend une rente de l'assurance-invalidité suisse est déterminé exclusivement d'après le droit suisse (cf. supra 3). Contrairement à ce que soutient implicitement la recourante, la décision de la sécurité sociale espagnole (cf. pce 8) ne lie donc pas les autorités suisses. Dans le cas d'espèce, les experts sollicités ont retenu, sur le plan orthopédique d'une part, de manière unanime, les diagnostics de lombosciatalgies sur hernie discale L5-S1, cervicalgies et arthrose. L'importance de la hernie a toutefois, à réitérées reprises, été minimisée par les experts (cf. notamment le rapport médical détaillé du 31 mars 2006 de l'INSS, pces 38; les prises de position des 2 mars 2007, 8 mars et 19 juin 2009 du service médical de l'OAIE, pces 52, 63 et 65). Certains médecins ont même nié son existence et retenu qu'une simple protrusion discale (cf. notamment le rapport du 28 novembre 2007 du Dr Castaño, pce 60, pce 11 TAF; le certificat du 22 avril 2009 du Dr Antelo). Les lombosciatalgies ont par ailleurs été traitées à l'aide d'anti-inflammatoires. Enfin, comme cela ressort du rapport du 31 mars 2006 de l'INSS, la recourante ne souffre d'aucune limitation fonctionnelle objective, ni d'aucune atteinte neurologique. Nonobstant la douleur ressentie, la recourante doit dès lors pouvoir exercer à plein temps une activité légère, voire sédentaire. Les conclusions des médecins qui se sont exprimés sur la question sont à cet égard d'ailleurs univoques, motivées à satisfaction de droit et concordantes (cf. les prises de position des 2 mars 2007, 8 mars et 19 juin 2009 du service médical de l'OAIE, pces 52, 63 et 65). Seuls les Drs Castaño et Antelo, dans leurs rapports respectifs des 28 novembre 2007 et 22 avril 2009, semblent considérer que les affections retenues entraînent une incapacité de travail et d'effectuer les tâches ménagères plus conséquente (cf. pces 11 et 22 TAF). Or, le juge, à ce propos, doit tenir compte du fait que le médecin traitant est généralement enclin, en cas de doute, à prendre parti pour son patient en raison de la relation de confiance qui l'unit à ce dernier (ATF 125 V 353 consid. 3b/cc et réf. cit.; Ulrich Meyer-Blaser, Bundesgesetz über Invalidenversicherung, in: Rechtssprechung des Bundesgerichts zum Sozialversicherungsrecht, Zurich 1997, p. 230). Il convient de relever, au surplus, que le certificat du Dr Antelo est largement postérieur à la date de la décision attaquée et que son appréciation de la situation clinique de la recourante a donc probablement trait à une période qui ne saurait être appréhendée par la présente procédure (cf. ATF 121 V 366, 116 V 248). Sur le plan psychique, d'autre part, une fibromyalgie, ainsi qu'un syndrome anxio-dépressif et vertigineux ont été retenus. L'existence de psychopathologies significatives a toutefois été expressément exclue par l'INSS. Il n'y a donc pas de comorbidité psychiatrique, ni, manifestement, de perte d'intégration sociale. Or, les affections diagnostiquées ne sauraient, à elles seules, justifier l'octroi d'une rente d'invalidité. De plus, comme l'a justement relevé le service médical de l'OAIE (cf. pces 52 et 63), les affections dont souffre la recourante ne sont pas objectivement documentées et il n'a pas été jugé nécessaire de les traiter stationnairement ou ambulatoirement.</w:t>
      </w:r>
    </w:p>
    <w:p>
      <w:r>
        <w:rPr>
          <w:b/>
        </w:rPr>
        <w:t>E. 11.3</w:t>
      </w:r>
    </w:p>
    <w:p>
      <w:r>
        <w:t>Eu égard à ce qui précède, force est pour l'autorité de céans de se rallier à l'avis de l'OAIE et de considérer qu'à partir du 4 février 1998 la recourante présente une incapacité de travail de 50% dans sa précédente activité professionnelle, mais aucune diminution de rendement dans une activité de substitution et/ou dans ses activités domestiques habituelles.</w:t>
      </w:r>
    </w:p>
    <w:p>
      <w:r>
        <w:rPr>
          <w:b/>
        </w:rPr>
        <w:t>E. 12.1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La notion du marché équilibré du travail est une notion théorique et abstraite, qui sert de critère de distinction entre les cas tombant sous le coup de l'assurance-chômage et ceux qui relèvent de l'assurance-invalidité. Elle implique, d'une part, un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réf. cit.).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w:t>
      </w:r>
    </w:p>
    <w:p>
      <w:r>
        <w:rPr>
          <w:b/>
        </w:rPr>
        <w:t>E. 12.2</w:t>
      </w:r>
    </w:p>
    <w:p>
      <w:r>
        <w:t>Selon les documents figurant au dossier, la recourante a exercé en Espagne, à raison de 25 heures par semaine, du 28 septembre 1993 au 29 septembre 1997, la profession de débardeuse/chargeuse/emballeuse (cf. pces 16 s.). Selon la jurisprudence, pour procéder à la comparaison des revenus, il convient de se placer au moment de la naissance du droit éventuel à la rente; les revenus avec et sans invalidité doivent être déterminés par rapport à un même moment et les modifications de ces revenus susceptibles d'influencer le droit à la rente survenues jusqu'au moment où la décision est rendue être prises en compte (cf. ATF 128 V 174 et 129 V 222). En l'espèce, on peut se référer aux données 2004 étant donné que, au plus tôt, l'intéressée pourrait avoir droit à des prestations de l'assurance suisse à partir de cette année. Vu que la recourante a cessé sa dernière activité en 1997, le Tribunal de céans estime qu'il est plus opportun de se fier aux données statistiques plutôt qu'aux chiffres ressortant du dossier relatifs à son dernier revenu. Il se fondera en outre sur les données statistiques suisses plutôt qu'aux espagnoles (disponibles sur le site Internet de l'institut national espagnol de la statistique www.ine.es), lesquelles ne présentent pas - faute d'en connaître la méthodologie - la même fiabilité et représentativité que celles disponibles pour la Suisse (cf. arrêt du Tribunal fédéral I 232/06 du 25 octobre 2006 consid. 4 et arrêt du Tribunal administratif fédéral C-3053/2006 du 4 septembre 2008 consid. 10.2.2). L'important dans l'évaluation de l'invalidité est en effet que les deux éléments comparés, à savoir le revenu sans invalidité et le revenu d'invalide, soient équivalents, c'est à dire qu'ils se rapportent à un même marché du travail et à une même année de référence (ATF 110 V 273 consid. 4d; arrêt du Tribunal fédéral I 383/06 du 5 avril 2007 consid. 4.4). Le revenu qu'aurait réalisé la recourante sans invalidité, dans une activité à plein temps, correspond dès lors au salaire mensuel moyen d'une salariée effectuant des activités simples et répétitives (niveau 4) dans la production en 2004 en Suisse, savoir Fr. 4'002.60 - Fr. 3'886., montant ressortant du Tableau TA1 relatif aux salaires bruts standardisés de l'Enquête suisse sur la structure des salaires 2004 de l'Office fédéral de la statistique, après adaptation au nombre d'heures de travail effectuées en 2004 en moyenne dans la production, soit 41.2 heures par semaine (par rapport aux 40 heures de base, La Vie économique 12-2008, B9.2).</w:t>
      </w:r>
    </w:p>
    <w:p>
      <w:r>
        <w:rPr>
          <w:b/>
        </w:rPr>
        <w:t>E. 12.3</w:t>
      </w:r>
    </w:p>
    <w:p>
      <w:r>
        <w:t>Les activités de substitution proposées par le service médical de l'OAIE, dans sa prise de position du 2 mars 2007 (cf. pce 52), exigibles à plein temps à compter du 4 février 1998, sont des activités légères et adaptées à l'état de santé de la recourante comparables à des activités simples et répétitives (niveau 4) dans des services collectifs et personnels (Fr. 3'640.-, selon les données statistiques de 2004), le commerce de gros, intermédiaires de commerce (Fr. 4'152.-) ou le commerce de détail, réparation d'articles domestiques (Fr. 3'792.-). La moyenne de ces revenus, à savoir Fr. 3'861.30, adaptée à l'horaire usuel dans le secteur tertiaire en 2004 de 41.7 heures par semaine (par rapport aux 40 heures de base, La Vie économique 12-2008, B9.2), correspond à Fr. 4'025.40. Le revenu d'invalide tiré des données statistiques doit tenir compte d'un large éventail d'activités légères existant sur le marché du travail. En l'occurrence, un nombre suffisant d'entre elles peut être exercé sans efforts moyennement importants, de sorte que ces activités sont adaptées au handicap de la recourante. De plus, la majeure partie de ces postes ne nécessite pas de formation particulière autre qu'une mise à jour initiale. Le Tribunal de céans considère enfin qu'eu égard à la situation professionnelle et personnelle de la recourante, en particulier de son âge, un abattement du salaire statistique de 15% peut être opéré. Son revenu d'invalide est dès lors de Fr. 3'421.60. La comparaison du revenu sans invalidité de Fr. 4'002.60 de la recourante à son revenu d'invalide de Fr. 3'421.60 fait apparaître un préjudice économique de 14.50%.</w:t>
      </w:r>
    </w:p>
    <w:p>
      <w:r>
        <w:rPr>
          <w:b/>
        </w:rPr>
        <w:t>E. 12.4</w:t>
      </w:r>
    </w:p>
    <w:p>
      <w:r>
        <w:t>La recourante a exercé sa dernière activité à raison de 25 heures par semaine. Pour le reste, selon les déclarations de l'intéressée, elle s'est consacrée à son domicile à ses tâches ménagères. Il peut dès lors être considéré qu'elle travaillait à raison de 60% et s'occupait des tâches habituelles du ménage à hauteur de 40%. Or, l'invalidité de la recourante est de 14.50% (supra 12.3) s'agissant d'une activité lucrative. Sa diminution de rendement dans le ménage est à négliger et tend vers 0% (supra 11.3). En se basant sur une moyenne pondérée, le degré d'invalidité de la recourante est donc d'environ 8.7% ([60 x 14.50% = 8.7%] + [40 x 0% = 0%]; cf. art. 28 al. 2ter LAI), taux insuffisant pour ouvrir droit à une rente d'invalidité suisse (cf. art. 28 al. 1 LAI). C'est donc à raison que l'administration a rejeté sa demande de prestations.</w:t>
      </w:r>
    </w:p>
    <w:p>
      <w:r>
        <w:rPr>
          <w:b/>
        </w:rPr>
        <w:t>E. 13</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14</w:t>
      </w:r>
    </w:p>
    <w:p>
      <w:r>
        <w:t>Partant, le recours doit être rejeté. Il est le lieu de relever encore que si la situation clinique de la recourante devait s'être péjorée depuis la date de la décision attaquée, il lui serait alors loisible de déposer une nouvelle demande de prestations auprès de l'autorité inférieure.</w:t>
      </w:r>
    </w:p>
    <w:p>
      <w:r>
        <w:rPr>
          <w:b/>
        </w:rPr>
        <w:t>E. 15</w:t>
      </w:r>
    </w:p>
    <w:p>
      <w:r>
        <w:t>Vu l'issue de la procédure, les frais de celle-ci, fixés à Fr. 300.-, sont mis à la charge de la recourante (art. 63 al. 1 PA, applicable par le truchement de l'art. 37 LTAF). Ils sont compensés par l'avance de frais du même montant dont il s'est acquitté au cours de l'instruction. 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