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C-7106/2008 vom 5. Januar 2010</w:t>
      </w:r>
    </w:p>
    <w:p>
      <w:r>
        <w:t>Bundesverwaltungsgericht, 2010-01-05, DE</w:t>
      </w:r>
    </w:p>
    <w:p>
      <w:r>
        <w:rPr>
          <w:b/>
        </w:rPr>
        <w:t xml:space="preserve">Quelle: </w:t>
      </w:r>
      <w:r>
        <w:t>https://mcp.opencaselaw.ch/entscheid/bvger_C-7106_2008</w:t>
      </w:r>
    </w:p>
    <w:p>
      <w:r>
        <w:t>FR: TAF C-7106/2008 du 5 janvier 2010</w:t>
      </w:r>
    </w:p>
    <w:p>
      <w:r>
        <w:t>IT: TAF C-7106/2008 del 5 gennaio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Verfahren, die bei Inkrafttreten der Verordnung vom 22. Oktober 2008 über die Einreise und die Visumerteilung (VEV, SR 142.204) am 12. Dezember 2008 (dem Datum auch des Inkrafttretens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gemäss Art. 57 VEV nach neuem Recht fortgeführt (und damit insbesondere nach dem übergeordneten Schengen-Recht).</w:t>
      </w:r>
    </w:p>
    <w:p>
      <w:r>
        <w:rPr>
          <w:b/>
        </w:rPr>
        <w:t>E. 5.1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VEV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5.2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ausreisen zu wollen.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hierzu auch die Urteile des Bundesverwaltungsgerichts C-1509/2008 vom 13. Februar 2009 sowie C-3013/2008 vom 14. Februar 2009 jeweils E. 5.2 und E. 5.3).</w:t>
      </w:r>
    </w:p>
    <w:p>
      <w:r>
        <w:rPr>
          <w:b/>
        </w:rPr>
        <w:t>E. 6</w:t>
      </w:r>
    </w:p>
    <w:p>
      <w:r>
        <w:t>In Anhang I zur Verordnung (EG) Nr. 539/2001 des Rates vom 15. März 2001 (ABl. L 81 vom 21.03.2001, S. 1-7) sind diejenigen Staaten aufgelistet, deren Staatsangehörige beim Überschreiten der Aussengrenzen der Schengen-Mitgliedstaaten im Besitz eines Visums sein müssen. Äthiopien ist in diesem Anhang aufgeführt, weshalb die Gesuchstellerin der Visumspflicht unterliegt.</w:t>
      </w:r>
    </w:p>
    <w:p>
      <w:r>
        <w:rPr>
          <w:b/>
        </w:rPr>
        <w:t>E. 7.1</w:t>
      </w:r>
    </w:p>
    <w:p>
      <w:r>
        <w:t>Zur Prüfung des Kriteriums der gesicherten Wiederausreise muss ein zukünftiges Verhalten beurteilt werden. Dazu lassen sich in der Regel keine Feststellungen, sondern lediglich Prognosen treffen. Dabei sind sämtliche Umstände des konkreten Einzelfalles zu würdigen.</w:t>
      </w:r>
    </w:p>
    <w:p>
      <w:r>
        <w:rPr>
          <w:b/>
        </w:rPr>
        <w:t>E. 7.2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In Äthiopien sind breite Bevölkerungsschichten von vergleichsweise schwierigen ökonomischen und sozialen Lebensbedingungen betroffen. Äthiopien ist bei gut 80 Millionen Einwohnern mit einem Pro-Kopf-Einkommen von etwa 220 US-Dollar (2007) eines der ärmsten Länder der Welt, dies obwohl das Wirtschaftswachstum während der letzten sechs Jahre wesentlich über dem regionalen Durchschnitt lag. Ein Grossteil der Bevölkerung lebt nach wie vor unter der absoluten Armutsgrenze; entsprechend liegt Äthiopien im Human Development Index auf Platz 169 von 177 Ländern. Der gravierende Einfluss von Dürreperioden auf die Landwirtschaft sowie das rasche Bevölkerungswachstum (Äthiopien stellt nach Nigeria die zweitgrösste Bevölkerung des Kontinents, und im Jahre 2050 wird das Land zu den zehn bevölkerungsreichsten Staaten der Welt gehören) tragen zum Verharren in der Armut bei (Quelle: Länder- und Reiseinformationen auf der Webseite des deutschen Auswärtigen Amtes: www.auswaertiges-amt.de, Länder, Reisen und Sicherheit &gt; Äthiopien &gt; Wirtschaft, Stand: September 2009, besucht am 30. November 2009). Entsprechend hoch ist der Anteil jener, die versuchen, nach Europa oder anderswohin zu gelangen, wo sie sich unter günstigeren Lebensbedingungen eine bessere Zukunft sichern möchten. Der Trend zeigt sich erfahrungsgemäss dort besonders stark, wo durch die Anwesenheit von Verwandten oder Bekannten bereits ein minimales soziales Beziehungsnetz im Ausland besteht. Im Falle der Schweiz führt dies angesichts der restriktiven fremdenpolizeilichen Zulassungsregelung nicht selten zur Umgehung ausländerrechtlicher Bestimmungen.</w:t>
      </w:r>
    </w:p>
    <w:p>
      <w:r>
        <w:rPr>
          <w:b/>
        </w:rPr>
        <w:t>E. 7.4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8.1</w:t>
      </w:r>
    </w:p>
    <w:p>
      <w:r>
        <w:t>Bei der Gesuchstellerin handelt es sich um eine 28-jährige, ledige und kinderlose Frau. Über ihre persönlichen und familiären Verhältnisse ist nichts Näheres bekannt. Aus ihrem persönlichen Visumsantrag kann lediglich geschlossen werden, dass sie zusammen mit mehreren Brüdern in Addis Abeba wohnt (vgl. Ziff. 7). Daraus sind aber keine persönlichen oder familiären Verpflichtungen abzuleiten, welche die Prognose einer fristgerechten und anstandslosen Wiederausreise begünstigen könnten.</w:t>
      </w:r>
    </w:p>
    <w:p>
      <w:r>
        <w:rPr>
          <w:b/>
        </w:rPr>
        <w:t>E. 8.2</w:t>
      </w:r>
    </w:p>
    <w:p>
      <w:r>
        <w:t>Die Gesuchstellerin ist erwerbstätig. Gemäss übereinstimmenden Angaben arbeitet sie in einem Elektrogeschäft als Verkäuferin. Wie lange sie dort schon angestellt ist und welchen Lohn sie mit ihrer Erwerbstätigkeit erzielt, ist nicht bekannt. Aufgrund der nur spärlichen Angaben des Beschwerdeführers kann auch kein Bild darüber gewonnen werden, in welchen wirtschaftlichen Verhältnissen sich die Gesuchstellerin befindet. Allein aus dem Umstand, dass sie erwerbstätig ist, kann jedenfalls nicht auf Verhältnisse geschlossen werden, die besondere Gewähr für eine Wiederausreise nach einem Besuchsaufenthalt bieten würden. Dies gilt umso mehr, als die Gesuchstellerin ohne zwingenden Grund gleich für volle drei Monate in die Schweiz reisen möchte. Dass sie nach einer derart langen Abwesenheit wieder an ihren Arbeitsplatz zurückkehren könnte, wird zwar vom Beschwerdeführer behauptet, ist aber in den dem Gericht zur Verfügung stehenden Akten nirgends belegt.</w:t>
      </w:r>
    </w:p>
    <w:p>
      <w:r>
        <w:rPr>
          <w:b/>
        </w:rPr>
        <w:t>E. 8.3</w:t>
      </w:r>
    </w:p>
    <w:p>
      <w:r>
        <w:t>Vor dem aufgezeigten persönlichen und allgemeinen Hintergrund durfte die Vorinstanz demnach davon ausgehen, dass keine hinreichende Gewähr für eine fristgerechte und anstandslose Wiederausreise der Gesuchstellerin nach einem Besuchsaufenthalt besteht. An dieser Beurteilung vermag die gegenteilige Zusicherung des Beschwerdeführers im Gesuchsverfahren nichts zu ändern. Diese ist rechtlich nicht verbindlich und faktisch auch nicht durchsetzbar. Als Gastgeber kann der Beschwerdeführer zwar für gewisse finanzielle Risiken im Zusammenhang mit dem Besuchsaufenthalt, aus nahe liegenden Gründen aber nicht für ein bestimmtes Verhalten seines Gastes garantieren (anstelle vieler vgl. Urteile des Bundesverwaltungsgerichts C-204/2008 vom 5. März 2009 E. 8.4 und C-2618/2008 vom 26. Februar 2009 E. 11).</w:t>
      </w:r>
    </w:p>
    <w:p>
      <w:r>
        <w:rPr>
          <w:b/>
        </w:rPr>
        <w:t>E. 8.4</w:t>
      </w:r>
    </w:p>
    <w:p>
      <w:r>
        <w:t>Kommt hinzu, dass der Beschwerdeführer die Gesuchstellerin noch nicht lange kennt und sich seine Kontakte zu ihr bisher auf Telefongespräche und elektronische Korrespondenzen beschränkt haben. Entsprechend schwer dürfte selbst für den Beschwerdeführer abzuschätzen sein, mit welcher Verlässlichkeit die Gesuchstellerin - einmal mit einem Besuchsvisum eingereist - an den von ihr deklarierten Absichten festhalten würde.</w:t>
      </w:r>
    </w:p>
    <w:p>
      <w:r>
        <w:rPr>
          <w:b/>
        </w:rPr>
        <w:t>E. 9</w:t>
      </w:r>
    </w:p>
    <w:p>
      <w:r>
        <w:t>Aus vorstehenden Erwägungen folgt, das die angefochtene Verfügung im Lichte von Art. 49 VwVG nicht zu beanstanden ist. Die Beschwerde ist daher abzuweisen.</w:t>
      </w:r>
    </w:p>
    <w:p>
      <w:r>
        <w:rPr>
          <w:b/>
        </w:rPr>
        <w:t>E. 10</w:t>
      </w:r>
    </w:p>
    <w:p>
      <w:r>
        <w:t>Mit Abweisung der Beschwerde wird der Beschwerdeführer kostenpflichtig (Art. 63 Abs. 1 VwVG,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