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C-70/2021 vom 12. April 2023</w:t>
      </w:r>
    </w:p>
    <w:p>
      <w:r>
        <w:t>Bundesverwaltungsgericht, 2023-04-12, DE</w:t>
      </w:r>
    </w:p>
    <w:p>
      <w:r>
        <w:rPr>
          <w:b/>
        </w:rPr>
        <w:t xml:space="preserve">Quelle: </w:t>
      </w:r>
      <w:r>
        <w:t>https://mcp.opencaselaw.ch/entscheid/bvger_C-70_2021</w:t>
      </w:r>
    </w:p>
    <w:p>
      <w:r>
        <w:t>FR: TAF C-70/2021 du 12 avril 2023</w:t>
      </w:r>
    </w:p>
    <w:p>
      <w:r>
        <w:t>IT: TAF C-70/2021 del 12 aprile 2023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 gen gehören jene der Auffangeinrichtung im Bereich der beruflichen Vor- sorge, zumal diese öffentlich-rechtliche Aufgaben des Bundes erfüllt (Art. 33 Bst. h VGG i.V.m. Art. 60 Abs. 2bis des Bundesgesetzes vom 25. Juni 1982 über die berufliche Alters-, Hinterlassenen- und Invalidenvor- sorge [BVG, SR 831.40]). Eine Ausnahme, was das Sachgebiet angeht, ist vorliegend nicht gegeben (Art. 32 VGG).</w:t>
      </w:r>
    </w:p>
    <w:p>
      <w:r>
        <w:rPr>
          <w:b/>
        </w:rPr>
        <w:t>E. 1.2</w:t>
      </w:r>
    </w:p>
    <w:p>
      <w:r>
        <w:t>Der Verwaltungsakt der Vorinstanz vom 7. Dezember 2020 stellt eine Verfügung im Sinne von Art. 5 Abs. 1 VwVG dar. Dagegen hat der Be- schwerdeführer am 4. Januar 2021 fristgerecht (Art. 50 i.V.m. Art. 22a Abs. 1 Bst. c VwVG) und formgerecht (Art. 52 VwVG) Beschwerde erhe- ben lassen. Als Adressat ist er durch die angefochtene Verfügung</w:t>
      </w:r>
    </w:p>
    <w:p>
      <w:r>
        <w:t>C-70/2021 Seite 5 besonders berührt und hat ein schutzwürdiges Interesse an deren Ände- rung oder Aufhebung (Art. 48 Abs. 1 Bst. a bis c VwVG). Nachdem auch der geforderte Kostenvorschuss fristgerecht geleistet worden ist (vgl. BVGer-act. 4), sind sämtliche Prozessvoraussetzungen erfüllt (vgl. insbe- sondere oben Bst. B.e), weshalb auf die Beschwerde einzutreten ist.</w:t>
      </w:r>
    </w:p>
    <w:p>
      <w:r>
        <w:rPr>
          <w:b/>
        </w:rPr>
        <w:t>E. 2.1</w:t>
      </w:r>
    </w:p>
    <w:p>
      <w:r>
        <w:t>Das Verfahren vor dem Bundesverwaltungsgericht richtet sich gemäss Art. 37 VGG grundsätzlich nach dem VwVG, soweit das VGG nichts ande- res bestimmt.</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2.4</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 weislast sowie in die Regeln der Sachabklärung und Beweiserhebung mit richterlichen Obliegenheiten und Mitwirkungspflichten der Parteien. Es ver- hält sich dabei so, dass die Verfahrensbeteiligten die mit der Sache be- fasste Instanz in ihrer aktiven Rolle zu unterstützen haben, indem sie das ihrige zur Ermittlung des Sachverhaltes beitragen, unabhängig von der Geltung des Untersuchungsgrundsatzes (zum Ganzen: ANDRÉ MOSER/MI- CHAEL BEUSCH/LORENZ KNEUBÜHLER/MARTIN KAYSER, Prozessieren vor dem Bundesverwaltungsgericht, 3. Aufl., 2022, Rz. 1.49 f. m.w.H.). Die Be- schwerdeinstanz hat mithin nicht zu untersuchen, ob sich die angefochtene Verfügung unter schlechthin allen in Frage kommenden Aspekten als kor- rekt erweist, sondern untersucht im Prinzip nur die vorgebrachten Bean- standungen. Von den Verfahrensbeteiligten nicht aufgeworfene</w:t>
      </w:r>
    </w:p>
    <w:p>
      <w:r>
        <w:t>C-70/2021 Seite 6 Rechtsfragen werden nur geprüft, wenn hierzu aufgrund der Parteivorbrin- gen oder anderer sich aus den Akten ergebender Anhaltspunkte hinrei- chender Anlass besteht (BVGE 2007/27 E. 3.3; MOSER/BEUSCH/KNEUBÜH- LER/KAYSER, a.a.O., Rz. 1.55).</w:t>
      </w:r>
    </w:p>
    <w:p>
      <w:r>
        <w:rPr>
          <w:b/>
        </w:rPr>
        <w:t>E. 2.5</w:t>
      </w:r>
    </w:p>
    <w:p>
      <w:r>
        <w:t>Nach dem Grundsatz der freien Beweiswürdigung bildet sich das Bun- desverwaltungsgericht unvoreingenommen, gewissenhaft und sorgfältig seine Meinung darüber, ob der zu erstellende Sachverhalt als wahr zu gel- ten hat. Es ist dabei nicht an bestimmte förmliche Beweisregeln gebunden, die genau vorschreiben, wie ein gültiger Beweis zu Stande kommt und wel- chen Beweiswert die einzelnen Beweismittel im Verhältnis zueinander ha- ben (BGE 130 II 482 E. 3.2; vgl. Urteil des BVGer A-6660/2011 vom 29. Mai 2012 E. 4.2.1; MOSER/BEUSCH/KNEUBÜHLER/KAYSER, a.a.O., Rz. 3.140). Gelangt das Gericht gestützt auf die freie Beweiswürdigung nicht zum Er- 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des Schweizerischen Zivilgesetzbuches vom 10. Dezember 1907 [ZGB, SR 210]). Bei Beweislosigkeit ist folglich zu Un- gunsten derjenigen Person zu entscheiden, welche die Beweislast trägt (vgl. Urteile des BVGer A-5063/2017 vom 21. März 2018 E. 1.4.2, A- 5832/2016 E. 1.6.2, m.w.H.; MOSER/BEUSCH/KNEUBÜHLER/KAYSER, a.a.O., Rz. 3.149 ff.).</w:t>
      </w:r>
    </w:p>
    <w:p>
      <w:r>
        <w:rPr>
          <w:b/>
        </w:rPr>
        <w:t>E. 3.1</w:t>
      </w:r>
    </w:p>
    <w:p>
      <w:r>
        <w:t>Obligatorisch zu versichern ist jeder Arbeitnehmer, der das 17. Alters- jahr vollendet hat und bei einem Arbeitgeber mehr als den gesetzlichen Jahres-Mindestlohn gemäss Art. 2 Abs. 1 BVG in Verbindung mit Art. 5 der Verordnung vom 18. April 1984 über die berufliche Alters-, Hinterlassenen- und Invalidenvorsorge (BVV 2, SR 831.441.1) erzielt und bei der Alters- und Hinterlassenenversicherung (AHV) versichert ist (Art. 5 Abs. 1 BVG). Dieser Grenzbetrag wird vom Bundesrat gemäss Art. 9 BVG periodisch an- gepasst und betrug in den Jahren 2017 und 2018 jeweils Fr. 21'150.- und im Jahr 2019 Fr. 21’330.- (Art. 2 Abs. 1 BVG i.V.m. Art. 7 Abs. 2 BVG und den jeweils gültig gewesenen Fassungen von Art. 5 BVV 2). Der Jahres- lohn entspricht grundsätzlich dem massgebenden Lohn nach dem Bundes- gesetz vom 20. Dezember 1946 über die Alters- und Hinterlassenenversi- cherung (AHVG, SR 831.10). Der Bundesrat kann Abweichungen zulassen (Art. 7 Abs. 2 BVG; zu den Ausnahmen vgl. Art. 3 BVV 2). Die Vorinstanz</w:t>
      </w:r>
    </w:p>
    <w:p>
      <w:r>
        <w:t>C-70/2021 Seite 7 ist grundsätzlich an die Lohnbescheinigungen der Ausgleichskasse gebun- den und hat darauf abzustellen. Allfällige Korrekturen der Lohnbescheini- gungen sind nicht im Beschwerdeverfahren vor dem Bundesverwaltungs- gericht, sondern direkt bei der zuständigen Ausgleichskasse und allenfalls auf dem für die Anfechtung von Entscheiden dieser Behörde vorgesehenen Rechtsweg geltend zu machen (vgl. Urteil des BVGer A-1232/2017 vom 31. Januar 2018 E. 3.2 m.w.H.).</w:t>
      </w:r>
    </w:p>
    <w:p>
      <w:r>
        <w:rPr>
          <w:b/>
        </w:rPr>
        <w:t>E. 3.2</w:t>
      </w:r>
    </w:p>
    <w:p>
      <w:r>
        <w:t>Von der obligatorischen Versicherung ausgenommen sind gemäss Art. 1j Abs. 1 Bst. c BVV 2 Arbeitnehmer, die nebenberuflich tätig sind und bereits für eine hauptberufliche Erwerbstätigkeit obligatorisch versichert sind oder im Hauptberuf eine selbständige Erwerbstätigkeit ausüben. Der Begriff der nebenberuflichen Tätigkeit wird nicht definiert. Nach dem allgemeinen Sprachgebrauch ist bei zwei dauerhaft in gleichem Umfang, mit gleicher Intensität und zu vergleichbaren Lohnbedingungen ausgeübten Beschäftigungen keine nebenberufliche Tätigkeit gegeben, sondern es liegen zwei Haupttätigkeiten vor. Bei mehreren nebeneinander ausgeübten gleichwertigen Erwerbstätigkeiten kommt Art. 1j Abs. 1 Bst. c BVV 2 nicht zur Anwendung, vielmehr ist von einer mehrfachen Versicherungspflicht auszugehen. Ob eine haupt- oder nebenberufliche Tätigkeit gegeben ist, ist aufgrund der Umstände im Einzelfall zu beantworten. Zu berücksichtigen sind nebst dem Beschäftigungsgrad vor allem die Lohnhöhe, die Dauer des jeweiligen Arbeitsverhältnisses sowie die Art der Tätigkeit (ISABELLE VETTER-SCHREIBER, Berufliche Vorsorge, Kommentar, 4. Aufl. 2021, Art. 1j BVV 2 Rz. 6 ff.). Gemäss der bundesgerichtlichen Rechtsprechung ist bei der Tätigkeit als Sekretärin/ Buchhalterin zu 50 % und bei der Tätigkeit in einem Verein als Leiterin des Finanz- und Rechnungswesens zu 50 % von zwei gleichwertigen (Haupt-) Erwerbstätigkeiten auszugehen, welche beide obligatorisch zu versichern sind, sofern der Grenzbetrag erreicht wird (BGE 129 V 132 E. 3). Dies wurde ebenso bejaht für einen Versicherten, der zu 50 % als wissenschaftlicher Mitarbeiter beim Bund sowie zu 20 % und 30 % bei zwei verschiedenen Universitäten als Dozent tätig war (BGE 136 V 390 E. 3.1).</w:t>
      </w:r>
    </w:p>
    <w:p>
      <w:r>
        <w:rPr>
          <w:b/>
        </w:rPr>
        <w:t>E. 3.3</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w:t>
      </w:r>
    </w:p>
    <w:p>
      <w:r>
        <w:t>C-70/2021 Seite 8 Stellenantrittes der zu versichernden Person (Art. 11 Abs. 3 i.V.m. Art. 10 Abs. 1 BVG). Der Begriff des Arbeitgebers im Sinne von Art. 11 BVG wird im Gesetz nicht näher umschrieben, entspricht gemäss bundesgerichtli- cher Rechtsprechung aber demjenigen des AHVG. Nach Art. 12 Abs. 1 AHVG gilt als (beitragspflichtiger) Arbeitgeber, wer obligatorisch versicher- ten Personen Arbeitsentgelte gemäss Art. 5 Abs. 2 AHVG (massgebender Lohn respektive Einkommen aus unselbständiger Erwerbstätigkeit) aus- richtet (HÜRZELER/STAUFFER, Basler Kommentar, Berufliche Vorsorge, 2021, Art. 11 BVG, Rz. 14).</w:t>
      </w:r>
    </w:p>
    <w:p>
      <w:r>
        <w:rPr>
          <w:b/>
        </w:rPr>
        <w:t>E. 3.4</w:t>
      </w:r>
    </w:p>
    <w:p>
      <w:r>
        <w:t>Eine echte Doppelversicherung liegt vor, wenn vorsorgerechtlich der gleiche Lohn für die funktionell gleiche hauptberufliche Tätigkeit versichert wird. Dies ist dann gegeben, wenn der Versicherte für das gleiche Risiko bei verschiedenen Versicherungsträgern versichert ist. Echte Doppelversi- cherungen sind ausgeschlossen (BGE 120 V 15 E. 3b und 4a). Wie das Bundesgericht im Urteil 9C_141/2013 vom 7. April 2013 in Erwägung 2 je- doch ausdrücklich festhält, ist ein rechtmässig verfügter Zwangsanschluss – auch wenn zwischenzeitlich ein Anschluss an eine andere Vorsorgeein- richtung erfolgte und insofern eine unzulässige Doppelversicherung be- steht (vgl. BGE 120 V 15 E. 4a) – dennoch ordnungsgemäss zu kündigen.</w:t>
      </w:r>
    </w:p>
    <w:p>
      <w:r>
        <w:rPr>
          <w:b/>
        </w:rPr>
        <w:t>E. 3.5</w:t>
      </w:r>
    </w:p>
    <w:p>
      <w:r>
        <w:t>Beschäftigt ein Arbeitgeber vorübergehend kein obligatorisch zu versi- cherndes Personal, so besteht ein unbefristeter Zwangsanschluss ohne Kündigung dennoch weiter, wobei in dieser Zeit keine Beiträge zu entrich- ten sind (vgl. anstelle vieler Urteil 9C_141/2013 E. 2.1 sowie Urteile des BVGer A-7718/2015 vom 28. Juli 2016 E. 4.4.1 und A-7102/2014 vom 11. Mai 2016 E. 3.2.2, je m.H.).</w:t>
      </w:r>
    </w:p>
    <w:p>
      <w:r>
        <w:rPr>
          <w:b/>
        </w:rPr>
        <w:t>E. 3.6.1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 ten einer registrierten Vorsorgeeinrichtung anzuschliessen (Art. 11 Abs. 5 BVG). Kommt der Arbeitgeber der Aufforderung der AHV-Ausgleichskasse nicht fristgemäss nach, so meldet diese ihn der Auffangeinrichtung rück- wirkend zum Anschluss (Art. 11 Abs. 6 BVG).</w:t>
      </w:r>
    </w:p>
    <w:p>
      <w:r>
        <w:rPr>
          <w:b/>
        </w:rPr>
        <w:t>E. 3.6.2</w:t>
      </w:r>
    </w:p>
    <w:p>
      <w:r>
        <w:t>Die Auffangeinrichtung ist eine Vorsorgeeinrichtung und verpflichtet, Arbeitgeber, die ihrer Pflicht zum Anschluss an eine Vorsorgeeinrichtung</w:t>
      </w:r>
    </w:p>
    <w:p>
      <w:r>
        <w:t>C-70/2021 Seite 9 nicht nachkommen, anzuschliessen (Art. 60 Abs. 1 und 2 Bst. a BVG). Der Anschluss erfolgt rückwirkend (vgl. Art. 11 Abs. 3 und 6 BVG). Gemäss Art. 60 Abs. 2bis BVG kann die Auffangeinrichtung zur Erfüllung dieser Auf- gabe Verfügungen erlassen. Ein befristeter Anschluss wird in der Praxis dann verfügt, wenn zwar ein Anschluss bestand, für eine bestimmte Zeit- spanne aber eine Lücke vorliegt (Urteile des BVGer A-5687/2016 vom</w:t>
      </w:r>
    </w:p>
    <w:p>
      <w:r>
        <w:rPr>
          <w:b/>
        </w:rPr>
        <w:t>E. 3.7</w:t>
      </w:r>
    </w:p>
    <w:p>
      <w:r>
        <w:t>Gemäss Art. 11 Abs. 7 BVG stellen die Auffangeinrichtung und die AHV-Ausgleichskasse dem säumigen Arbeitgeber den von ihm verursach- ten Verwaltungsaufwand in Rechnung. Dies wird auch in Art. 3 Abs. 4 der Verordnung vom 28. August 1985 über die Ansprüche der Auffangeinrich- tung der beruflichen Vorsorge (SR 831.434) erwähnt, wonach der Arbeit- geber der Auffangeinrichtung alle Aufwendungen zu ersetzen hat, die die- ser in Zusammenhang mit seinem Anschluss entstehen. Detailliert geregelt sind die entsprechenden Kosten sodann im Kostenreglement der Auffan- geinrichtung (gültig ab 1. Januar 2018; &lt;https://web.aeis.ch/DE/static_pa- ges/69/Vorsorgereglemente&gt;, zuletzt besucht am 14. Februar 2023). Die- ses Reglement bildet auch im vorliegenden Fall integrierenden Bestandteil der Zwangsanschlussverfügung. Es sieht unter der Rubrik «Zwangsan- schluss» für «Verfügung und Durchführung Zwangsanschluss» Kosten von Fr. 825.- vor. 4. Strittig und im Folgenden zu prüfen ist, ob sich der Beschwerdeführer auf- grund der Tätigkeit seiner Ehefrau C._______ in seiner Einzelfirma einer Vorsorgeeinrichtung hätte anschliessen müssen. 4.1 Der Beschwerdeführer macht diesbezüglich geltend, der Lohn von C._______ habe in den Jahren 2017 und 2018 unter der Eintrittsgrenze zum BVG gelegen. Die Steuerbehörde habe nämlich die ausländischen Einkünfte von C._______ der AHV-Beitragspflicht unterworfen. Die inländi- schen Einkünfte hätten jedoch die Eintrittsgrenze in beiden Jahren nicht erreicht und so habe auch keine BVG-Pflicht bestanden (BVGer-act. 1; vgl. auch oben Bst. B.a). Die Vorinstanz bringt demgegenüber vor, C._______ unterliege für das Jahr 2018 der Versicherungspflicht in der beruflichen Vorsorge. Es sei im dafür vorgesehenen Verfahren gemäss Art. 58 Abs. 1 ATSG auch zu keiner Rektifikation der Lohnsumme gekommen. Weiter könne den Angaben des Beschwerdeführers und den Unterlagen nicht</w:t>
      </w:r>
    </w:p>
    <w:p>
      <w:r>
        <w:t>C-70/2021 Seite 10 entnommen werden, dass es sich bei der Tätigkeit von C._______ im Jahr 2018 um eine Nebentätigkeit im Sinne von Art. 1j Abs. 1 Bst. c BVV 2 ge- handelt habe, welche nicht der obligatorischen Versicherung unterstehe. Für die Jahre 2017 und 2019 bestehe jedoch mangels Erreichens der Ein- trittsschwelle keine Versicherungspflicht (BVGer-act. 6; vgl. auch oben Bst. B.c). 4.2 Aus den Akten ergibt sich, dass der Beschwerdeführer für die Jahre 2017, 2018 und 2019 für seine Ehefrau jeweils eine Lohnsumme von Fr. 21‘000.- (2017), Fr. 21‘328.- (2018) und Fr. 0.- (2019) gegenüber der Ausgleichskasse deklariert hat (BVGer-act. 6 Beilagen 1.4-1.6). Den im Beschwerdeverfahren eingereichten Steuerveranlagungen ist sodann zu entnehmen, dass C._______ in den Jahren 2017 und 2018 jeweils Ein- künfte aus unselbständiger Tätigkeit und aus selbständiger Tätigkeit ange- geben hat. Aus unselbständiger Tätigkeit wurden schliesslich Fr. 21‘000.- (2017) beziehungsweise Fr. 20'000.- (2018) und aus selbständiger Tätig- keit Fr. 27‘527.- (2017) beziehungsweise Fr. 20‘541.- (2018) veranlagt (BVGer-act. 1 Beilagen 2 und 3). Gemäss Auskunft der zuständigen Aus- gleichskasse vom 5. März 2021 hat der Beschwerdeführer für die Lohnde- klaration 2018 – trotz gegenteiliger Angabe gegenüber der Vorinstanz – keine Korrekturmeldung für die Lohnsumme eingereicht, aufgrund derer der Lohn hätte nach unten korrigiert werden können (BVGer-act. 6 Beila- gen 3 und 6). 4.3 Aufgrund der vorliegenden Unterlagen besteht für die Jahre 2017 und 2019 unbestrittenermassen keine Versicherungspflicht, weil die Eintritts- schwelle von Fr. 21'150.- beziehungsweise Fr. 21’330.- (vgl. zur Eintritts- schwelle auch oben E. 3.1) gemäss Lohndeklaration nicht überschritten wird (BVGer-act. 6 Beilagen 1.4 und 1.6). Was sodann das Jahr 2018 be- trifft, ist die Eintrittsschwelle von Fr. 21'150.- gemäss der verbindlichen Lohndeklaration gegenüber der Ausgleichskasse (vgl. dazu oben E. 3.1 in fine), für welche überdies keine Korrekturmeldung eingereicht wurde, über- schritten (BVGer-act. 6 Beilagen 1.5). Die Ausführungen des Beschwerde- führers, dass die Steuerbehörde die ausländischen Einkünfte von C._______ ebenfalls der AHV-Beitragspflicht unterworfen habe, die inlän- dischen Einkünfte jedoch gemäss Steuerveranlagung unter der Eintritts- schwelle liegen würden, ändern sodann nichts daran, dass der Beschwer- deführer beziehungsweise seine Vertreterin in der vom 11. März 2019 da- tierten Lohndeklaration für das Jahr 2018 für C._______ aufgrund ihrer An- stellung in der Einzelfirma des Beschwerdeführers eine Lohnsumme von Fr. 21'328.- angegeben hat. Weiter macht der Beschwerdeführer weder</w:t>
      </w:r>
    </w:p>
    <w:p>
      <w:r>
        <w:t>C-70/2021 Seite 11 geltend noch hat er Belege dafür eingereicht, dass es sich bei der Tätigkeit seiner Ehefrau in seiner Einzelfirma um eine nebenberufliche Tätigkeit im Sinne von Art. 1j Abs. 1 Bst. c BVV 2 handelt. Aufgrund der sich nur unwe- sentlich unterscheidenden Lohnsummen aus selbständiger und unselb- ständiger Tätigkeit ist entsprechend von zwei Haupttätigkeiten, davon eine offenbar selbständig im Ausland ausgeübt, auszugehen, womit eine freiwil- lige Versicherung ausser Betracht fällt (vgl. dazu oben E. 3.2). Folglich be- steht für den Beschwerdeführer im Jahr 2018 eine Versicherungspflicht und der Zwangsanschluss ist somit zu Recht per 1. Januar 2018 erfolgt.</w:t>
      </w:r>
    </w:p>
    <w:p>
      <w:r>
        <w:t>Der Vollständigkeit halber ist darauf hinzuweisen, dass der Zwangsan- schluss ohne Kündigung grundsätzlich weiter besteht, auch wenn der Be- schwerdeführer gemäss eigenen Angaben seit 2019 kein obligatorisch zu versicherndes Personal mehr beschäftigt (vgl. auch oben E. 3.5). 5. Nicht zu beanstanden – und vom Beschwerdeführer im Übrigen auch nicht explizit bestritten – ist sodann die Auferlegung der Kosten für die Verfügung sowie die Durchführung des Zwangsanschlusses in der Höhe von Fr. 825.- (vgl. dazu auch oben E. 3.7).</w:t>
      </w:r>
    </w:p>
    <w:p>
      <w:r>
        <w:rPr>
          <w:b/>
        </w:rPr>
        <w:t>E. 4</w:t>
      </w:r>
    </w:p>
    <w:p>
      <w:r>
        <w:t>Strittig und im Folgenden zu prüfen ist, ob sich der Beschwerdeführer aufgrund der Tätigkeit seiner Ehefrau C._______ in seiner Einzelfirma einer Vorsorgeeinrichtung hätte anschliessen müssen.</w:t>
      </w:r>
    </w:p>
    <w:p>
      <w:r>
        <w:rPr>
          <w:b/>
        </w:rPr>
        <w:t>E. 4.1</w:t>
      </w:r>
    </w:p>
    <w:p>
      <w:r>
        <w:t>Der Beschwerdeführer macht diesbezüglich geltend, der Lohn von C._______ habe in den Jahren 2017 und 2018 unter der Eintrittsgrenze zum BVG gelegen. Die Steuerbehörde habe nämlich die ausländischen Einkünfte von C._______ der AHV-Beitragspflicht unterworfen. Die inländischen Einkünfte hätten jedoch die Eintrittsgrenze in beiden Jahren nicht erreicht und so habe auch keine BVG-Pflicht bestanden (BVGer-act. 1; vgl. auch oben Bst. B.a). Die Vorinstanz bringt demgegenüber vor, C._______ unterliege für das Jahr 2018 der Versicherungspflicht in der beruflichen Vorsorge. Es sei im dafür vorgesehenen Verfahren gemäss Art. 58 Abs. 1 ATSG auch zu keiner Rektifikation der Lohnsumme gekommen. Weiter könne den Angaben des Beschwerdeführers und den Unterlagen nicht entnommen werden, dass es sich bei der Tätigkeit von C._______ im Jahr 2018 um eine Nebentätigkeit im Sinne von Art. 1j Abs. 1 Bst. c BVV 2 gehandelt habe, welche nicht der obligatorischen Versicherung unterstehe. Für die Jahre 2017 und 2019 bestehe jedoch mangels Erreichens der Eintrittsschwelle keine Versicherungspflicht (BVGer-act. 6; vgl. auch oben Bst. B.c).</w:t>
      </w:r>
    </w:p>
    <w:p>
      <w:r>
        <w:rPr>
          <w:b/>
        </w:rPr>
        <w:t>E. 4.2</w:t>
      </w:r>
    </w:p>
    <w:p>
      <w:r>
        <w:t>Aus den Akten ergibt sich, dass der Beschwerdeführer für die Jahre 2017, 2018 und 2019 für seine Ehefrau jeweils eine Lohnsumme von Fr. 21'000.- (2017), Fr. 21'328.- (2018) und Fr. 0.- (2019) gegenüber der Ausgleichskasse deklariert hat (BVGer-act. 6 Beilagen 1.4-1.6). Den im Beschwerdeverfahren eingereichten Steuerveranlagungen ist sodann zu entnehmen, dass C._______ in den Jahren 2017 und 2018 jeweils Einkünfte aus unselbständiger Tätigkeit und aus selbständiger Tätigkeit angegeben hat. Aus unselbständiger Tätigkeit wurden schliesslich Fr. 21'000.- (2017) beziehungsweise Fr. 20'000.- (2018) und aus selbständiger Tätigkeit Fr. 27'527.- (2017) beziehungsweise Fr. 20'541.- (2018) veranlagt (BVGer-act. 1 Beilagen 2 und 3). Gemäss Auskunft der zuständigen Ausgleichskasse vom 5. März 2021 hat der Beschwerdeführer für die Lohndeklaration 2018 - trotz gegenteiliger Angabe gegenüber der Vorinstanz - keine Korrekturmeldung für die Lohnsumme eingereicht, aufgrund derer der Lohn hätte nach unten korrigiert werden können (BVGer-act. 6 Beilagen 3 und 6).</w:t>
      </w:r>
    </w:p>
    <w:p>
      <w:r>
        <w:rPr>
          <w:b/>
        </w:rPr>
        <w:t>E. 4.3</w:t>
      </w:r>
    </w:p>
    <w:p>
      <w:r>
        <w:t>Aufgrund der vorliegenden Unterlagen besteht für die Jahre 2017 und 2019 unbestrittenermassen keine Versicherungspflicht, weil die Eintrittsschwelle von Fr. 21'150.- beziehungsweise Fr. 21'330.- (vgl. zur Eintrittsschwelle auch oben E. 3.1) gemäss Lohndeklaration nicht überschritten wird (BVGer-act. 6 Beilagen 1.4 und 1.6). Was sodann das Jahr 2018 betrifft, ist die Eintrittsschwelle von Fr. 21'150.- gemäss der verbindlichen Lohndeklaration gegenüber der Ausgleichskasse (vgl. dazu oben E. 3.1 in fine), für welche überdies keine Korrekturmeldung eingereicht wurde, überschritten (BVGer-act. 6 Beilagen 1.5). Die Ausführungen des Beschwerdeführers, dass die Steuerbehörde die ausländischen Einkünfte von C._______ ebenfalls der AHV-Beitragspflicht unterworfen habe, die inländischen Einkünfte jedoch gemäss Steuerveranlagung unter der Eintrittsschwelle liegen würden, ändern sodann nichts daran, dass der Beschwerdeführer beziehungsweise seine Vertreterin in der vom 11. März 2019 datierten Lohndeklaration für das Jahr 2018 für C._______ aufgrund ihrer Anstellung in der Einzelfirma des Beschwerdeführers eine Lohnsumme von Fr. 21'328.- angegeben hat. Weiter macht der Beschwerdeführer weder geltend noch hat er Belege dafür eingereicht, dass es sich bei der Tätigkeit seiner Ehefrau in seiner Einzelfirma um eine nebenberufliche Tätigkeit im Sinne von Art. 1j Abs. 1 Bst. c BVV 2 handelt. Aufgrund der sich nur unwesentlich unterscheidenden Lohnsummen aus selbständiger und unselbständiger Tätigkeit ist entsprechend von zwei Haupttätigkeiten, davon eine offenbar selbständig im Ausland ausgeübt, auszugehen, womit eine freiwillige Versicherung ausser Betracht fällt (vgl. dazu oben E. 3.2). Folglich besteht für den Beschwerdeführer im Jahr 2018 eine Versicherungspflicht und der Zwangsanschluss ist somit zu Recht per 1. Januar 2018 erfolgt.Der Vollständigkeit halber ist darauf hinzuweisen, dass der Zwangsanschluss ohne Kündigung grundsätzlich weiter besteht, auch wenn der Beschwerdeführer gemäss eigenen Angaben seit 2019 kein obligatorisch zu versicherndes Personal mehr beschäftigt (vgl. auch oben E. 3.5).</w:t>
      </w:r>
    </w:p>
    <w:p>
      <w:r>
        <w:rPr>
          <w:b/>
        </w:rPr>
        <w:t>E. 5</w:t>
      </w:r>
    </w:p>
    <w:p>
      <w:r>
        <w:t>Nicht zu beanstanden - und vom Beschwerdeführer im Übrigen auch nicht explizit bestritten - ist sodann die Auferlegung der Kosten für die Verfügung sowie die Durchführung des Zwangsanschlusses in der Höhe von Fr. 825.- (vgl. dazu auch oben E. 3.7).</w:t>
      </w:r>
    </w:p>
    <w:p>
      <w:r>
        <w:rPr>
          <w:b/>
        </w:rPr>
        <w:t>E. 6</w:t>
      </w:r>
    </w:p>
    <w:p>
      <w:r>
        <w:t>Zusammenfassend ist aufgrund der obigen Ausführungen festzuhalten, dass die Vorinstanz zu Recht einen Zwangsanschluss im Sinne von Art. 60 Abs. 2 Bst. a BVG verfügt hat, da der Beschwerdeführer aufgrund der Tä- tigkeit seiner Ehefrau C._______ über einen eigenen Anschluss hätte ver- fügen müssen. Der Anschluss ist zu Recht per 1. Januar 2018 erfolgt. Die Beschwerde ist damit abzuweisen und die angefochtene Verfügung zu be- stätigen.</w:t>
      </w:r>
    </w:p>
    <w:p>
      <w:r>
        <w:rPr>
          <w:b/>
        </w:rPr>
        <w:t>E. 7</w:t>
      </w:r>
    </w:p>
    <w:p>
      <w:r>
        <w:t>Zu befinden bleibt über die Verfahrenskosten und eine allfällige Parteient- schädigung.</w:t>
      </w:r>
    </w:p>
    <w:p>
      <w:r>
        <w:rPr>
          <w:b/>
        </w:rPr>
        <w:t>E. 7.1</w:t>
      </w:r>
    </w:p>
    <w:p>
      <w:r>
        <w:t>Ausgangsgemäss hat der Beschwerdeführer die Kosten für das Beschwerdeverfahren vor dem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w:t>
      </w:r>
    </w:p>
    <w:p>
      <w:r>
        <w:t>C-70/2021 Seite 12</w:t>
      </w:r>
    </w:p>
    <w:p>
      <w:r>
        <w:rPr>
          <w:b/>
        </w:rPr>
        <w:t>E. 7.2</w:t>
      </w:r>
    </w:p>
    <w:p>
      <w:r>
        <w:t>Weder dem unterliegenden (nicht anwaltlich) vertretenen Beschwerde- führer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