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C-709/2008 vom 18. März 2009</w:t>
      </w:r>
    </w:p>
    <w:p>
      <w:r>
        <w:t>Bundesverwaltungsgericht, 2009-03-18, DE</w:t>
      </w:r>
    </w:p>
    <w:p>
      <w:r>
        <w:rPr>
          <w:b/>
        </w:rPr>
        <w:t xml:space="preserve">Quelle: </w:t>
      </w:r>
      <w:r>
        <w:t>https://mcp.opencaselaw.ch/entscheid/bvger_C-709_2008</w:t>
      </w:r>
    </w:p>
    <w:p>
      <w:r>
        <w:t>FR: TAF C-709/2008 du 18 mars 2009</w:t>
      </w:r>
    </w:p>
    <w:p>
      <w:r>
        <w:t>IT: TAF C-709/2008 del 18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122 II 485 E. 3, 122 II 234 E. 4.e,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1 - 32]).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 - 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1 - 149), die eine analoge Auslegung vornimmt. Diese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1 - 7)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der Türkei unterliegen die Gesuchsteller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In der Türkei sind auch heute noch breite Bevölkerungsschichten von vergleichsweise schwierigen wirtschaftlichen und sozialen Lebensbedingungen betroffen. Die Liberalisierungspolitik der letzten Jahrzehnte hat dem Land zwar ein rasches Wirtschaftswachstum, aber ebenso eine zunehmend ungleiche Einkommensverteilung beschert. Daran hat sich auch nach der schweren Wirtschafts- und Finanzkrise im Jahre 2001 nichts Wesentliches geändert; das seither wieder zu beobachtende Wirtschaftswachstum hat der breiten Bevölkerungsmehrheit weder mehr Beschäftigung bzw. Einkommen noch grössere Konsummöglichkeiten gebracht. Insbesondere die unteren Bevölkerungsschichten leben weiterhin am Rande des Existenzminimums. Der jahrelange innenpolitische Konflikt in den Kurdengebieten im Südosten und Osten und die damit einhergehenden Probleme haben zu einer massiven und anhaltenden Landflucht der Bevölkerung in die grösseren Städte der Region sowie in die westlichen Gebiete des Landes geführt, was wiederum eine Zunahme der Arbeitslosenquote und der ganzen damit verbundenen sozialen Problematik nach sich zieht (Quelle: Länder- und Reiseinformationen auf der Webseite des Deutschen Auswärtigen Amtes, www.auswaertiges-amt.de, Stand: April 2008, besucht am 12. März 2009). Die Verhältnisse in der Türkei spiegeln sich in einer anhaltend hohen Emigrationsrate wider. Die Bereitschaft, das Land auf der Suche nach besseren Lebensbedingungen zu verlassen,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ihrer ursprünglichen Absichtserklärung - dazu nutzen, ein Asylgesuch einzureichen oder die fristgerechte Wiederausreise auf andere Weise zu umgehen.</w:t>
      </w:r>
    </w:p>
    <w:p>
      <w:r>
        <w:rPr>
          <w:b/>
        </w:rPr>
        <w:t>E. 8.1</w:t>
      </w:r>
    </w:p>
    <w:p>
      <w:r>
        <w:t>Angesichts der schwierigen Lage im Herkunftsland der Gesuchsteller ist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Obliegt dem Gesuchsteller oder der Gesuchstellerin im Heimatstaat beispielsweise eine besondere berufliche, gesellschaftliche oder familiäre Verantwortung, kann dieser Umstand durchaus die Prognose für eine anstandslose Wiederausreise begünstigen. Umgekehrt muss bei Gesuchstellerinnen und Gesuchstellern, die keine besonderen Verpflichtungen haben, die sie von einer möglichen Emigration abhalten könnten, aufgrund entsprechender Erfahrungen das Risiko eines fremdenpolizeilich nicht vorschriftsgemässen Verhaltens nach bewilligter Einreise zu einem Besuchsaufenthalt als hoch eingeschätzt werden.</w:t>
      </w:r>
    </w:p>
    <w:p>
      <w:r>
        <w:rPr>
          <w:b/>
        </w:rPr>
        <w:t>E. 8.2</w:t>
      </w:r>
    </w:p>
    <w:p>
      <w:r>
        <w:t>Bei der Gesuchstellerin 1 handelt es sich um eine 36jährige Mutter zweier Kinder im Alter von 16 bzw. 13 Jahren. Gemäss Angaben im Antragsformular, welche vom Gastgeber gegenüber der kantonalen Behörde bestätigt wurden, ist die Gesuchstellerin 1 als Hausfrau tätig. Die Kinder (die Gesuchstellerin 2 und der Gesuchsteller) gehen noch zur Schule. In der gleichen Provinz leben gemäss dem Gastgeber noch die Mutter der Gesuchstellerin 1, zwei Schwestern sowie Onkel und Tanten. Aus diesen Angaben kann nicht auf besondere gesellschaftliche oder familiäre Verpflichtungen der Gesuchstellerin 1 in ihrem Heimatland geschlossen werden. Dies umso mehr, als die Kinder, welche ihre engsten Familienmitglieder darstellen, zusammen mit ihr in die Schweiz kommen möchten. Mit in die Beurteilung einzubeziehen ist im Weiteren die Tatsache, dass die Gesuchstellerin 1 mit dem Beschwerdeführer und dem Vater ihrer Kinder bereits enge Beziehungen zu Personen im Ausland hat. Es kann daher nicht ausgeschlossen werden, dass sie den Wunsch nach Emigration hegt, um mit ihrem Bruder oder mit dem Vater ihrer Kinder zusammen leben zu können. Für diese Annahme spricht, dass die Gesuchstellerin 1 bereits versucht hat, ein Visum für die Einreise nach Dänemark, dem Aufenthaltsstaat des Kindsvaters, zu erhalten.</w:t>
      </w:r>
    </w:p>
    <w:p>
      <w:r>
        <w:rPr>
          <w:b/>
        </w:rPr>
        <w:t>E. 8.3</w:t>
      </w:r>
    </w:p>
    <w:p>
      <w:r>
        <w:t>Unter den gegebenen Umständen durfte die Vorinstanz zu Recht davon ausgehen, es bestehe nicht genügend Gewähr für die fristgerechte Wiederausreise nach einem Besuchsaufenthalt.</w:t>
      </w:r>
    </w:p>
    <w:p>
      <w:r>
        <w:rPr>
          <w:b/>
        </w:rPr>
        <w:t>E. 9</w:t>
      </w:r>
    </w:p>
    <w:p>
      <w:r>
        <w:t>Aus den vorangegangenen Erwägungen folgt, dass die angefochtene Verfügung im Lichte von Art. 49 VwVG rechtmässig ist. Die Beschwerde ist daher abzuweisen.</w:t>
      </w:r>
    </w:p>
    <w:p>
      <w:r>
        <w:rPr>
          <w:b/>
        </w:rPr>
        <w:t>E. 10</w:t>
      </w:r>
    </w:p>
    <w:p>
      <w:r>
        <w:t>Bei diesem Ausgang des Verfahrens sind die Kosten dem Beschwerdeführer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