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C-7097/2008 vom 27. Januar 2010</w:t>
      </w:r>
    </w:p>
    <w:p>
      <w:r>
        <w:t>Bundesverwaltungsgericht, 2010-01-27, DE</w:t>
      </w:r>
    </w:p>
    <w:p>
      <w:r>
        <w:rPr>
          <w:b/>
        </w:rPr>
        <w:t xml:space="preserve">Quelle: </w:t>
      </w:r>
      <w:r>
        <w:t>https://mcp.opencaselaw.ch/entscheid/bvger_C-7097_2008</w:t>
      </w:r>
    </w:p>
    <w:p>
      <w:r>
        <w:t>FR: TAF C-7097/2008 du 27 janvier 2010</w:t>
      </w:r>
    </w:p>
    <w:p>
      <w:r>
        <w:t>IT: TAF C-7097/2008 del 27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(dem Datum auch des Inkrafttretens des Abkommens vom 26. Oktober 2004 zwischen der Schweizerischen Eidgenossenschaft, der Europäischen Union und der Europäischen Gemeinschaft über die Assoziierung dieses Staates bei der Umsetzung, Anwendung und Entwicklung des Schengen-Besitzstands [SAA, SR 0.360.268.1]) hängig waren, werden gemäss Art. 57 VEV nach neuem Recht fortgeführt (und damit insbesondere nach dem übergeordneten Schengen-Recht).</w:t>
      </w:r>
    </w:p>
    <w:p>
      <w:r>
        <w:rPr>
          <w:b/>
        </w:rPr>
        <w:t>E. 5.1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VEV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5.2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hierzu anstelle vieler die Urteile des Bundesverwaltungsgerichts C-1509/2008 vom 13. Februar 2009 sowie C-3013/2008 vom 14. Februar 2009 jeweils E. 5.2 und E. 5.3).</w:t>
      </w:r>
    </w:p>
    <w:p>
      <w:r>
        <w:rPr>
          <w:b/>
        </w:rPr>
        <w:t>E. 6</w:t>
      </w:r>
    </w:p>
    <w:p>
      <w:r>
        <w:t>In Anhang I zur Verordnung (EG) Nr. 539/2001 des Rates vom 15. März 2001 (ABl. L 81 vom 21.03.2001, S. 1-7) sind diejenigen Staaten aufgelistet, deren Staatsangehörige beim Überschreiten der Aussengrenzen der Schengen-Mitgliedstaaten im Besitz eines Visums sein müssen. Die Dominikanische Republik ist in diesem Anhang aufgeführt, weshalb die Gesuchstellerin der Visumspflicht unterliegt.</w:t>
      </w:r>
    </w:p>
    <w:p>
      <w:r>
        <w:rPr>
          <w:b/>
        </w:rPr>
        <w:t>E. 7.1</w:t>
      </w:r>
    </w:p>
    <w:p>
      <w:r>
        <w:t>Zur Prüfung des Kriteriums der gesicherten Wiederausreise muss ein zukünftiges Verhalten beurteilt werden. Dazu lassen sich in der Regel keine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Gesuchstellerin stammt aus der Dominikanischen Republik. Die Wirtschaft dieses Landes konnte sich zwar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gilt die Dominikanische Republik als wirtschaftliches Mittellohnland, was allerdings an der hohen Arbeitslosigkeit von rund 18% (Stand 2008) nichts geändert hat. Zudem hat sich die dominikanische Wirtschaft seit 2007, beeinflusst von der sich abschwächenden Weltwirtschaft, leicht abgekühlt. Festzustellen ist auch, dass die Transferzahlungen von im Ausland lebenden Staatsbürgern mit einem beträchtlichen Anteil - im Jahr 2007 waren es 7,4% - zum Bruttoinlandprodukt beitragen (Quellen: Webseite des deutschen Auswärtigen Amtes: www.auswaertiges-amt.de, Länder, Reisen und Sicherheit &gt; Dominikanische Republik &gt; Wirtschaft, Stand: Oktober 2009; Webseite der Weltbank: www.worldbank.org, countries &gt; Dominican Republic &gt; Country Data Profile, beide Seiten besucht im Januar 2010).</w:t>
      </w:r>
    </w:p>
    <w:p>
      <w:r>
        <w:rPr>
          <w:b/>
        </w:rPr>
        <w:t>E. 7.4</w:t>
      </w:r>
    </w:p>
    <w:p>
      <w:r>
        <w:t>Die Tendenz zur Auswanderung aus der Dominikanischen Republik ist - wohl nicht zuletzt aufgrund der angespannten Verhältnisse auf dem Arbeitsmarkt - insbesondere in Kreisen der jüngeren, arbeitsfähigen Bevölkerung ungebrochen. Dabei gelten vor allem Nordamerika und Europa als Wunschdestinationen. Im Falle der Schweiz wird dabei nicht selten versucht, sich ein soziales Beziehungsnetz (Verwandte oder Freunde) zunutze zu machen, wo ein solches bereits besteht.</w:t>
      </w:r>
    </w:p>
    <w:p>
      <w:r>
        <w:rPr>
          <w:b/>
        </w:rPr>
        <w:t>E. 7.5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 der Gesuchstellerin handelt es sich um eine 36-jährige, ledige und kinderlose Frau. Über ihre familiären Verhältnisse ist nur gerade bekannt, dass vor Ort noch Familienangehörige unbekannten Verwandtschaftsgrades leben (so aus dem Einladungsschreiben und den schriftlichen Auskünften des Beschwerdeführers gegenüber dem Migrationsamt des Kantons Zürich zu schliessen). Obwohl die Vorinstanz in ihrer Verfügung ausdrücklich nicht vom Bestehen gesellschaftlicher oder familiärer Verantwortlichkeiten ausging, äusserte sich der Beschwerdeführer dazu im Rechtsmittelverfahren nicht. Es ist deshalb nicht zu beanstanden, wenn die Vorinstanz in diesem Bereich keine Umstände sah, die geeignet wären, die Prognose einer fristgerechten und anstandslosen Wiederausreise nach einem Besuchsaufenthalt positiv zu beeinflussen.</w:t>
      </w:r>
    </w:p>
    <w:p>
      <w:r>
        <w:rPr>
          <w:b/>
        </w:rPr>
        <w:t>E. 8.2</w:t>
      </w:r>
    </w:p>
    <w:p>
      <w:r>
        <w:t>Die Gesuchstellerin ist erwerbstätig. Sie arbeitet gemäss übereinstimmenden Angaben in einem Lebensmittelgeschäft ("colmado") in San Cristobal. Dabei handle es sich um einen Betrieb, den sie zusammen mit Familienangehörigen führe (so aus dem Einladungsschreiben des Beschwerdeführers vom 1. Juli 2008 zu schliessen). Gemäss einer schon im Gesuchsverfahren zu den Akten gegebenen Bestätigung eines lokalen Notars soll sie dabei monatlich mindestens 50'000 Dominikanische Pesos verdienen (was umgerechnet ungefähr Fr. 1'460 entspräche). Ein solcher Lohn erscheint allerdings auffällig hoch, wenn man sich vor Augen hält, dass das landesweite monatliche Durchschnittseinkommen im Jahre 2008 nur etwas mehr als einen Viertel davon betrug (vgl. deutsches Auswärtiges Amt, a.a.O.). Aufgrund der gelieferten Angaben ist denn auch nicht ersichtlich, welche Beweismittel der notariellen Beglaubigung zugrunde gelegt wurden. Belege, beispielsweise in Form von Steuerabrechnungen o.ä. wurden nicht zu den Akten gereicht. Auch dies unterblieb, obwohl die Vorinstanz noch in ihrer Vernehmlassung darauf hingewiesen hatte, dass das blosse Faktum einer Mitarbeit im familieneigenen Betrieb noch keine besondere Gewähr für die fristgerechte Wiederausreise nach einem Besuchsaufenthalt in der Schweiz geben könne. Schliesslich spricht auch die Dauer des deklarierten Auslandaufenthalts (gemäss der Gesuchstellerin sechs Wochen) nicht unbedingt dafür, dass ein starkes berufliches Engagement besteht. Somit sind auch in den beruflichen Verhältnissen der Gesuchstellerin keine Umstände erkennbar, welche nachhaltig von einer Emigration abhalten könnten.</w:t>
      </w:r>
    </w:p>
    <w:p>
      <w:r>
        <w:rPr>
          <w:b/>
        </w:rPr>
        <w:t>E. 8.3</w:t>
      </w:r>
    </w:p>
    <w:p>
      <w:r>
        <w:t>Vor dem allgemeinen und persönlichen Hintergrund durfte die Vorinstanz demnach davon ausgehen, dass keine hinreichende Gewähr für eine fristgerechte und anstandslose Wiederausreise der Gesuchstellerin nach einem Besuchsaufenthalt besteht. Diese Einschätzung ist mit den Zusicherungen des Beschwerdeführers nicht schon entscheidend in Frage zu stellen. Zwar besteht kein Anlass, an seiner Integrität und den guten Absichten zu zweifeln. Bei der Risikoeinschätzung ist aber nicht so sehr auf die Verlässlichkeit des Gastgebers, sondern vielmehr auf mögliche Verhaltensweisen des Gastes selbst abzustützen. Nur letzterer ist in der Lage, hinreichend Gewähr für eine fristgerechte und anstandslose Wiederausreise zu bieten (anstelle vieler vgl. Urteil des Bundesverwaltungsgerichts C-204/2008 vom 5. März 2009 E. 8.4).</w:t>
      </w:r>
    </w:p>
    <w:p>
      <w:r>
        <w:rPr>
          <w:b/>
        </w:rPr>
        <w:t>E. 9</w:t>
      </w:r>
    </w:p>
    <w:p>
      <w:r>
        <w:t>Aus vorstehenden Erwägungen folgt, dass die angefochtene Verfügung im Lichte von Art. 49 VwVG nicht zu beanstanden ist. Die Beschwerde ist daher abzuweisen.</w:t>
      </w:r>
    </w:p>
    <w:p>
      <w:r>
        <w:rPr>
          <w:b/>
        </w:rPr>
        <w:t>E. 10</w:t>
      </w:r>
    </w:p>
    <w:p>
      <w:r>
        <w:t>Mit Abweisung der Beschwerde wird der Beschwerdeführer kostenpflichtig (Art. 63 Abs. 1 VwVG, Art. 1, 2 und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