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C-7095/2008 vom 8. September 2010</w:t>
      </w:r>
    </w:p>
    <w:p>
      <w:r>
        <w:t>Bundesverwaltungsgericht, 2010-09-08, DE</w:t>
      </w:r>
    </w:p>
    <w:p>
      <w:r>
        <w:rPr>
          <w:b/>
        </w:rPr>
        <w:t xml:space="preserve">Quelle: </w:t>
      </w:r>
      <w:r>
        <w:t>https://mcp.opencaselaw.ch/entscheid/bvger_C-7095_2008</w:t>
      </w:r>
    </w:p>
    <w:p>
      <w:r>
        <w:t>FR: TAF C-7095/2008 du 8 septembre 2010</w:t>
      </w:r>
    </w:p>
    <w:p>
      <w:r>
        <w:t>IT: TAF C-7095/2008 del 8 settembre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In Anhang I zur Verordnung (EG) Nr. 539/2001 des Rates vom 15. März 2001 (ABl. L 81 vom 21.03.2001, S. 1-7) sind diejenigen Staaten aufgelistet, deren Staatsangehörige beim Überschreiten der Aussengrenzen der Schengen-Mitgliedstaaten im Besitze eines Visums sein müssen. Nigeria ist in diesem Anhang aufgeführt, weshalb der Gesuchsteller der Visumspflicht unterliegt.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Vorliegend ist zu 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7.2</w:t>
      </w:r>
    </w:p>
    <w:p>
      <w:r>
        <w:t>Die wirtschaftliche Lage Nigerias, des bevölkerungsreichsten Landes Afrikas, hat sich in den letzten Jahren deutlich verbessert. Relativiert wird dieser Erfolg aber durch die seit Anfang 2006 im ölreichen Niger-Delta entfachten und mit erheblicher Gewalt und Kriminalität einhergehenden Unruhen, welche zu eingeschränkten Öl- und Gasförderquoten geführt haben und dadurch auch das weitgehend vom Rohölexport abhängige Wirtschaftswachstum bremsen. Die Unruhen sind ebenfalls mit der Grund für eine Verschlechterung der ohnehin unzureichenden inländischen Energieversorgung. Als Haupthinderungsgrund für die wirtschaftliche Entwicklung gilt allerdings die mangelhafte Infrastruktur des Landes, die breiten Bevölkerungsschichten schwierige ökonomische und soziale Lebensbedingungen beschert und mehr als die Hälfte der Bevölkerung in extremer Armut (weniger als 1 USD/Tag) leben lässt. Auch wenn Präsident Yar' Adua, von Mai 2007 bis Mai 2010 amtierendes Staatsoberhaupt und gleichzeitiger Regierungschef, darum bemüht war, die Reformpolitik seines Vorgängers Obasanjo fortzusetzen und auf die genannten Herausforderungen einzugehen, hat die Implementierung von konkreten Massnahmen erst seit kurzem begonnen (Quelle: http://www.auswaertiges-amt.de, Stand März 2010, besucht im August 2010; vgl. auch Urteil des Bundesverwaltungsgerichts C-3303/2009 vom 22. Juli 2010 E. 6.2 mit weiteren Hinweisen). Angesichts des mit solchen Massnahmen verbundenen Kostenaufwands kann die nigerianische Bevölkerung mittelfristig nicht mit günstigeren Lebensbedingungen rechnen, wohl auch deshalb nicht, weil die weltweite Finanz- und Wirtschaftskrise bis auf Weiteres erhebliche Auswirkungen auf die von den Öleinnahmen abhängigen Staatsausgaben haben dürfte.</w:t>
      </w:r>
    </w:p>
    <w:p>
      <w:r>
        <w:rPr>
          <w:b/>
        </w:rPr>
        <w:t>E. 7.3</w:t>
      </w:r>
    </w:p>
    <w:p>
      <w:r>
        <w:t>Vor diesem Hintergrund besteht erfahrungsgemäss häufig der Wunsch zur Auswanderung, welcher sich vor allem bei jüngeren Menschen manifestiert. Ein bestehendes soziales Beziehungsnetz (Verwandte oder Bekannte)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Nigeria im Jahre 2009 mit 1'786 Gesuchen (+80.8% gegenüber dem Vorjahr) die grösste Gruppe von Asylsuchenden stellten. Auch im 1. und 2. Quartal 2010 war erneut Nigeria mit 408 bzw. 421 Asylgesuchen wichtigstes Herkunftsland; dies, obwohl nigeriani-sche Asylsuchende kaum Aussicht haben, in der Schweiz Asyl zu erhalten (vgl. kommentierte Asylstatistik 2009 des BFM, S. 3 und 10, sowie kommentierte Asylstatistik 1. und 2. Quartal 2010, je S. 2 und 8, im Internet unter: http://www.bfm.admin.ch, Themen &gt; Statistiken).</w:t>
      </w:r>
    </w:p>
    <w:p>
      <w:r>
        <w:rPr>
          <w:b/>
        </w:rPr>
        <w:t>E. 8.1</w:t>
      </w:r>
    </w:p>
    <w:p>
      <w:r>
        <w:t>Beim Gesuchsteller handelt es sich um einen mittlerweile 35-jährigen, verheirateten Mann, welcher in Benin-City, einer Millionenstadt im Süden Nigerias, lebt. Auf den ersten Blick könnte der Umstand, dass er für die Dauer seines geschäftlichen Aufenthaltes in der Schweiz die Ehefrau sowie seine beiden Kinder in der Heimat zurücklassen würde, durchaus für eine gewisse Verwurzelung sprechen. Andererseits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wirtschaftlich effizienter unterstützen oder später allenfalls gar nachziehen zu können. Dass der Zuwanderungsdruck von Personen aus Nigeria in grossem Ausmass anhält, wurde bereits erwähnt und von der Beschwerdeführerin denn auch nicht in Frage gestellt.</w:t>
      </w:r>
    </w:p>
    <w:p>
      <w:r>
        <w:rPr>
          <w:b/>
        </w:rPr>
        <w:t>E. 8.2</w:t>
      </w:r>
    </w:p>
    <w:p>
      <w:r>
        <w:t>Auch die wirtschaftlichen Verhältnisse bieten keine besondere Gewähr für eine Wiederausreise. Im Visumsantrag vom 18. Juli 2008 gab der Gesuchsteller hinsichtlich der beruflichen Tätigkeit an, er sei Geschäftspartner und Bevollmächtigter der X._______ in Nigeria, ohne konkretere Angaben zu seiner Erwerbstätigkeit zu machen. Unter Hinweis auf einen entsprechenden Handelsregisterauszug hielt die Beschwerdeführerin anlässlich des vorinstanzlichen Verfahrens fest, die Firma X._______, welche unter anderem sog. "Show-DVDs" von Veranstaltungen mit talentierten afrikanischen Künstlern produziere, sei im Jahre 2007 in Nigeria integriert worden, mit B._______ als Partner. Welchen Lohn der Gesuchsteller mit seiner aktuellen Erwerbstätigkeit erzielt, kann den Akten nicht entnommen werden; entsprechende Arbeitsverträge oder allfällige Einkommensbelege, welche die geltend gemachten beruflichen Bindungen des Gesuchstellers in Nigeria zweifelsfrei nachgewiesen hätten, wurden von den Beteiligten nicht vorgewiesen. Vor diesem Hintergrund erscheint fraglich, ob der Gesuchsteller tatsächlich über eine massgebliche berufliche Verankerung bzw. eine gesicherte wirtschaftliche Existenz in seinem Heimatland verfügt, die das Risiko einer nicht fristgerechten Wiederausreise nach einem geschäftlichen Aufenthalt in der Schweiz entscheidend herabsetzen könnte. Infolgedessen müssen die Beteuerungen auf Beschwerdeebene, der eingeladene Geschäftspartner werde die Schweiz nach seinem Geschäftsaufenthalt fristgerecht wieder verlassen, als nicht ausschlaggebend bezeichnet werden.</w:t>
      </w:r>
    </w:p>
    <w:p>
      <w:r>
        <w:rPr>
          <w:b/>
        </w:rPr>
        <w:t>E. 9.1</w:t>
      </w:r>
    </w:p>
    <w:p>
      <w:r>
        <w:t>Gemäss den vorstehenden Erwägungen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 An dieser Risikoeinschätzung vermag auch der Hinweis der Beschwerdeführerin, alle ihre bisherigen Gäste aus Nigeria seien stets fristgerecht wieder ausgereist, nichts zu ändern. Zum einen sind bei der Abwägung des Risikos einer nicht fristgerechten Wiederausreise nicht so sehr die Einstellung und die Absichten des Gastgebers bzw. Geschäftspartners in der Schweiz, sondern in erster Linie das mögliche Verhalten des eingeladenen Gastes selbst von Bedeutung. Nur Letzterer ist in der Lage, hinreichend Gewähr für eine fristgerechte und anstandslose Wiederausreise zu bieten (vgl. BVGE 2009/27 E. 9). Zum andern lässt sich mangels näherer Angaben einerseits nicht eruieren, unter welchen Umständen diesen Personen, bei denen es sich offenbar ebenfalls um Geschäftspartner der X._______ handelt, in der Vergangenheit ein Einreisevisum erteilt wurde. Andererseits weist jeder Einzelfall - wie vorliegend belegt - eine ihm eigene und spezifische Konstellation auf, so dass er nicht ohne weiteres mit anderen, angeblich gleich gelagerten Fällen verglichen werden kann. Der Beschwerdeführerin bleibt es freigestellt, für die Produktion ihrer DVDs in der Schweiz auf ihre bisherigen Geschäftspartner, deren fristgerechte Wiederausreise von der Schweizervertretung in Abuja offenbar nie in Frage gestellt wurde, oder auf die von der Vorinstanz in der Vernehmlassung aufgezeigten Möglichkeiten zurückzugreifen.</w:t>
      </w:r>
    </w:p>
    <w:p>
      <w:r>
        <w:rPr>
          <w:b/>
        </w:rPr>
        <w:t>E. 10</w:t>
      </w:r>
    </w:p>
    <w:p>
      <w:r>
        <w:t>Aus den dargelegten Gründen ist daher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demzufolge abzuweisen.</w:t>
      </w:r>
    </w:p>
    <w:p>
      <w:r>
        <w:rPr>
          <w:b/>
        </w:rPr>
        <w:t>E. 11</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