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C-7093/2017 vom 12. Februar 2020</w:t>
      </w:r>
    </w:p>
    <w:p>
      <w:r>
        <w:t>Bundesverwaltungsgericht, 2020-02-12, FR</w:t>
      </w:r>
    </w:p>
    <w:p>
      <w:r>
        <w:rPr>
          <w:b/>
        </w:rPr>
        <w:t xml:space="preserve">Quelle: </w:t>
      </w:r>
      <w:r>
        <w:t>https://mcp.opencaselaw.ch/entscheid/bvger_C-7093_2017</w:t>
      </w:r>
    </w:p>
    <w:p>
      <w:r>
        <w:t>FR: TAF C-7093/2017 du 12 février 2020</w:t>
      </w:r>
    </w:p>
    <w:p>
      <w:r>
        <w:t>IT: TAF C-7093/2017 del 12 febbraio 2020</w:t>
      </w:r>
    </w:p>
    <w:p>
      <w:pPr>
        <w:pStyle w:val="Heading2"/>
      </w:pPr>
      <w:r>
        <w:t>Regeste</w:t>
      </w:r>
    </w:p>
    <w:p>
      <w:r>
        <w:t>Révision de la rente</w:t>
      </w:r>
    </w:p>
    <w:p>
      <w:pPr>
        <w:pStyle w:val="Heading2"/>
      </w:pPr>
      <w:r>
        <w:t>Erwägungen</w:t>
      </w:r>
    </w:p>
    <w:p>
      <w:r>
        <w:rPr>
          <w:b/>
        </w:rPr>
        <w:t>E. 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Le Tribunal administratif fédéral est compétent pour connaître des recours des 14 décembre 2017 et 27 mai 2019, ceux-ci étant dirigés contre des décisions de l'OAIE (art. 31, 32 et 33 let. d LTAF ; art. 69 al. 1 let. b LAI [RS 831.20]). Ces recours ayant pour objet le même rapport juridique - soit le droit de l'assuré à une rente d'invalidité - il y a lieu d'en admettre la connexité et de joindre les causes C-7093/2017 et C-2698/2019 sous la seule référence C-7093/2017 (art. 24 PCF, applicable par renvoi de l'art. 4 PA ; arrêt du TAF B-4920/2015 du 2 février 2017 consid. 2).</w:t>
      </w:r>
    </w:p>
    <w:p>
      <w:r>
        <w:rPr>
          <w:b/>
        </w:rPr>
        <w:t>E. 1.3</w:t>
      </w:r>
    </w:p>
    <w:p>
      <w:r>
        <w:t>Pour le surplus, le recourant est directement touché par les décisions attaquées et a un intérêt digne d'être protégé à ce qu'elles soient annulées ou modifiées (art. 59 LPGA et 48 al. 1 PA). Déposé en temps utile, dans les formes requises par la loi (art. 60 LPGA et 50 al. 1 PA ; art. 52 al. 1 PA) et les avances sur les frais de procédure ayant été dûment acquittées (art. 64 al. 3 PA ; TAF pces 3 et 4), les recours sont ainsi recevables.</w:t>
      </w:r>
    </w:p>
    <w:p>
      <w:r>
        <w:rPr>
          <w:b/>
        </w:rPr>
        <w:t>E. 2.1</w:t>
      </w:r>
    </w:p>
    <w:p>
      <w:r>
        <w:t>Concernant le droit matériel applicable, l'affaire présente un aspect transfrontalier, dans la mesure où le recourant est un ressortissant espagnol, domicilié en Espagne, mais ayant travaillé en Suisse et cotisé à l'assurance vieillesse et invalidité. Est dès lors applicable l'accord du 21 juin 1999 sur la libre circulation des personnes (ALCP, RS 0.142.112.681), conclu entre la Suisse et la Communauté européenne et ses Etats membres, dont l'annexe II règle la coordination des systèmes de sécurité sociale (art. 8 ALCP). Depuis le 1er avril 2012, l'ALCP fait référence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Cela étant,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 16 janvier 2013 consid. 4).</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 soit le 8 novembre 2017, respectivement le 9 mai 2019.</w:t>
      </w:r>
    </w:p>
    <w:p>
      <w:r>
        <w:rPr>
          <w:b/>
        </w:rPr>
        <w:t>E. 2.3</w:t>
      </w:r>
    </w:p>
    <w:p>
      <w:r>
        <w:t>Par ailleurs, le juge des assurances sociales apprécie la légalité des décisions attaquées, en règle générale, d'après l'état de fait existant jusqu'au moment où la décision litigieuse a été rendue, soit le 8 novembre 2017, respectivement le 9 mai 2019 (ATF 132 V 215 consid. 3.1.1 ; 130 V 445 consid. 1.2 ; 121 V 362 consid. 1b ; TF 9C_34/2017 du 20 avril 2017 consid. 5.2 et les réf. cit). Les faits postérieurs doivent néanmoins être pris en considération lorsqu'ils sont étroitement liés à l'objet du litige et de nature à influencer l'appréciation au moment où la décision attaquée a été rendue (TF 9C_34/2017 du 20 avril 2017 consid. 5.2 et les réf. cit.).</w:t>
      </w:r>
    </w:p>
    <w:p>
      <w:r>
        <w:rPr>
          <w:b/>
        </w:rPr>
        <w:t>E. 3</w:t>
      </w:r>
    </w:p>
    <w:p>
      <w:r>
        <w:t>En tant qu'il est circonscrit par la décision du 8 novembre 2017, le litige porte sur le droit de l'assuré à une rente d'invalidité dès le 8 novembre 2017. Il s'agit plus particulièrement de déterminer si, dans le contexte de l'art. 17 LPGA, la juridiction cantonale était en droit de nier une péjoration de l'état de santé de l'assuré par rapport à celui existant au moment de la décision du 12 mars 2014, qui constitue le dernier prononcé reposant sur un examen médical du droit aux prestations (OAIE pce 229). Quant à la décision du 9 mai 2019, quand bien même elle se borne à recalculer le montant de la rente en raison de circonstances nouvelles, elle a également pour objet le droit de l'assuré à une rente d'invalidité, à compter toutefois du 1er octobre 2018 (Meyer/Von Zwehl, L'objet du litige en procédure de droit administratif fédéral, in: Mélanges Pierre Moor, Berne 2005, p. 441).</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L'assuré a droit à un quart de rente s'il est invalide à 40% au moins, à une demi-rente s'il est invalide à 50% au moins, à trois quarts de rente s'il est invalide à 60% au moins et à une rente entière s'il est invalide à 70% au moins (art. 28 al. 2). L'invalidité au sens de cette disposition est l'incapacité de gain totale ou partielle présumée permanente ou de longue durée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4.2</w:t>
      </w:r>
    </w:p>
    <w:p>
      <w:r>
        <w:t>En vertu de l'art. 17 LPGA, si le taux d'invalidité du bénéficiaire de la rente subit une modification notable, la rente est, d'office ou sur demande, révisée pour l'avenir, à savoir augmentée ou réduite en conséquence, ou encore supprimée. Pour autant qu'il ressort clairement du dossier, tout changement important des circonstances propres à influencer le degré d'invalidité, et donc le droit à la rente, peut motiver une révision selon l'art. 17 LPGA (notamment : TF 9C_195/2017 du 27 novembre 2017, consid. 4.3.2 ; I 111/07 du 17 décembre 2007, consid. 3 et réf.cit.).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rPr>
          <w:b/>
        </w:rPr>
        <w:t>E. 4.3</w:t>
      </w:r>
    </w:p>
    <w:p>
      <w:r>
        <w:t>Afin de pouvoir évaluer le taux d'invalidité ou établir un motif de révision, l'administration et, en cas de recours, le Tribunal,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125 V 256 consid. 4 p. 261 et les arrêts cités). En matière de révision, il revient également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(TF 9C_418/2010 du 29 août 2011, consid. 4.2).</w:t>
      </w:r>
    </w:p>
    <w:p>
      <w:r>
        <w:rPr>
          <w:b/>
        </w:rPr>
        <w:t>E. 4.4</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 ; ATF 141 V 281 consid. 2.1 ; 143 V 418 consid. 6 et 8.1 ; TF 9C_815/2012 du 12 décembre 2012 consid. 3).</w:t>
      </w:r>
    </w:p>
    <w:p>
      <w:r>
        <w:rPr>
          <w:b/>
        </w:rPr>
        <w:t>E. 4.5</w:t>
      </w:r>
    </w:p>
    <w:p>
      <w:r>
        <w:t>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De jurisprudence, l'appréciation des preuves est néanmoins soumise à des exigences sévères lorsque l'administration ou, en cas de recours, le juge se fonde uniquement ou principalement sur les rapports de médecins rattachés aux assureurs. Une instruction complémentaire sera ainsi requise si des doutes, même faibles, subsistent quant à la fiabilité et à la pertinence des constatations médicales effectuées par le service médical interne de l'assurance (ATF 135 V 465 consid. 4.6). Par ailleurs, pour avoir valeur probante, les rapports médicaux qui, comme en l'espèce,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 entre autres: TF 9C_335/2015 du 1er septembre 2015).</w:t>
      </w:r>
    </w:p>
    <w:p>
      <w:r>
        <w:rPr>
          <w:b/>
        </w:rPr>
        <w:t>E. 4.6</w:t>
      </w:r>
    </w:p>
    <w:p>
      <w:r>
        <w:t>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En l'occurrence, à suivre l'OAIE, l'état de santé de l'assuré n'a pas, depuis la décision de mars 2014, évolué de façon à modifier le droit aux prestations. Le recourant soutient au contraire que ses atteintes n'ont cessé de s'aggraver au cours des dernières années, comme en attestent ses médecins traitants lorsqu'ils font état de limitations incompatibles avec l'exercice de toute activité lucrative. Toujours selon le recourant, l'apparition en 2015 de troubles d'ordre cardiologique démontre quoiqu'il en soit clairement une péjoration de son état de santé.</w:t>
      </w:r>
    </w:p>
    <w:p>
      <w:r>
        <w:rPr>
          <w:b/>
        </w:rPr>
        <w:t>E. 5.1</w:t>
      </w:r>
    </w:p>
    <w:p>
      <w:r>
        <w:t>Contrairement à l'opinion de l'assuré, les rapports des médecins consultés en Espagne ne permettent pas de conclure à une aggravation de son état de santé justifiant une augmentation de la rente litigieuse. Certes, dans ses prises de position des 17 janvier 2017, 16 avril 2018 et 17 juin 2019, le Dr C._______ attribue aux troubles psychiques des répercussions sur la capacité de travail plus importantes que celles admises à la base de la décision de demi-rente d'invalidité (OAIE pce 307 et TAF pce 10). Pour autant, ce spécialiste n'évoque pas d'aggravation du status clinique de l'assuré, suggérant au contraire que celui-ci est stationnaire depuis de nombreuses années («paciente con anamnesis de 20 años e evolución, diagnosticado de t depresivo crónico[...] », rapport du 17 janvier 2017, OAIE pce 307). En cela, lorsqu'il rapporte une incapacité de travail allant jusqu'à 50 % au trouble dépressif de l'assuré, le Dr C._______ semble bel et bien procéder à une appréciation différente d'un état de fait resté inchangé. D'ailleurs, le Dr B._______ retient également que ces troubles n'ont pas connu de modification notable au cours des dernières années (OAIE pces 232, 254, 308 et 309). Quant aux atteintes néphrologiques, il ne ressort pas non plus du dossier qu'elles aient évolué de manière à influencer le droit à la rente. Bien plutôt, on déduit des rapports des Drs D._______ et E._______ que les troubles au niveau des reins et, notamment, leurs conséquences au plan digestif, n'ont pas présenté d'évolution particulière durant ces dernières années (OAIE pces 233, 265 et 299, 300 et 328). Il en va de même des atteintes aux hanches, qui font l'objet d'un suivi régulier et sans particularité depuis 2010 (OAIE pce 306). Pour autant, l'instruction menée par l'autorité précédente ne permet pas de trancher, selon le degré de preuve requis, l'existence au cas d'espèce d'un motif de révision. On cherche en effet en vain dans le dossier un document médical abordant de façon circonstanciée, d'une part, la capacité médico-théorique de l'assuré au moment de la décision attaquée du 8 novembre 2017 et, d'autre part, la manière dont cette capacité de travail a évolué depuis de la décision de l'OAIE du 12 mars 2014. Ainsi, plutôt que de fournir un tableau précis des limitations de l'assuré, les rapports dont se prévaut l'autorité précédente - soit ceux de ses médecins-conseils - écartent sporadiquement la pertinence des pièces médicales produites par le recourant. Or, depuis la dernière décision de rente, ce dernier a été victime en 2015 d'une cardiopathie ischémique puis d'une syncope en novembre 2017, qui ont chacune donné lieu à hospitalisation. De là, l'autorité précédente ne pouvait raisonnement s'abstenir de réexaminer la capacité de travail de l'assuré eu égard à l'ensemble de ses atteintes. Certes, le Dr F._______ ne fait pas - dans son rapport du 1er juin 2015 - correspondre de limitations durables aux affections cardiaques de l'assuré, puis décrit en mars 2016 un état asymptomatique (OAIE pces 303 et 304). En présence de deux hospitalisations depuis la dernière décision sur le droit à la rente, les prises de position succinctes des Drs G._______, L._______ et Q._______ - dont aucun n'est spécialisé en cardiologie - ne sauraient toutefois suffire à exclure à ce niveau toute répercussion sur la capacité de travail de l'assuré (OAIE pce 325 ; TAF pces 7 et 14). Il y a d'autant moins de raison de se fier aux conclusions des médecins-conseils que dans son rapport du 13 septembre 2017, le Dr K._______ recommandait d'investiguer la nature des atteintes cardiaques de l'assuré au moyen d'une IRM cérébrale ; or, l'autorité n'a pas mis en oeuvre cet examen, ni n'a exclu sa pertinence pour évaluer les faits médicaux au cas d'espèce pertinents (TAF pces 1 et 2).</w:t>
      </w:r>
    </w:p>
    <w:p>
      <w:r>
        <w:rPr>
          <w:b/>
        </w:rPr>
        <w:t>E. 5.2</w:t>
      </w:r>
    </w:p>
    <w:p>
      <w:r>
        <w:t>En définitive, l'instruction médicale est en l'état trop lacunaire pour évaluer si l'état de santé de l'assuré s'est modifié de manière à influencer le droit à la rente. Du moins, il subsiste des doutes quant à la fiabilité et à la pertinence des conclusions retenues par les médecins-conseils de l'autorité précédente, qui ne sauraient dès lors se voir reconnaître une valeur probante suffisante (ATF 135 V 465 consid. 4.6 ; TF 9C_335/2015 du 1er septembre 2015 et 8C_565/2008 du 27 janvier 2008 consid. 3.3.3).</w:t>
      </w:r>
    </w:p>
    <w:p>
      <w:r>
        <w:rPr>
          <w:b/>
        </w:rPr>
        <w:t>E. 6</w:t>
      </w:r>
    </w:p>
    <w:p>
      <w:r>
        <w:t>Dans ces conditions, le dossier doit être complété afin de déterminer si l'on est en présence d'un motif de révision et, le cas échéant, pour évaluer à nouveau l'invalidité du recourant (ATF 141 V 9, consid. 2.3). A cette fin, le dossier sera renvoyé à l'autorité précédente, qui a constaté les faits médicaux à la base de la décision attaquée de façon excessivement sommaire en sollicitant simplement des prises de position documentaires de ses médecins-conseils, qui ne disposent au demeurant pas des spécialisations au cas d'espèce requises (art. 61 PA ; ATF 137 V 210 consid. 4.4.1.4 ; 139 V 99 ; TF 8C_633/2014 du 11 décembre 2014 consid. 3.2 et 3.3 ; TF 9C_162/2007 du 3 avril 2008 consid. 2.3). Singulièrement, il s'agira pour l'OAIE de mettre en oeuvre, en Suisse et dans le respect de l'art. 72bis RAI ainsi que de la jurisprudence en matière d'affections psychiques (notamment : ATF 141 V 281 et 143 V 409), une expertise pluridisciplinaire pour déterminer si depuis la décision du 12 mars 2014, l'état de santé du recourant s'est péjoré de manière à modifier le droit à la rente. Vu les atteintes en présence, cette expertise comprendra à tout le moins les volets néphrologique, neurologique, rhumatologique, cardiologique et psychiatrique.</w:t>
      </w:r>
    </w:p>
    <w:p>
      <w:r>
        <w:rPr>
          <w:b/>
        </w:rPr>
        <w:t>E. 7</w:t>
      </w:r>
    </w:p>
    <w:p>
      <w:r>
        <w:t>Cela étant, le recours contre la décision du 8 novembre 2017 est fondé et doit être admis. Par conséquent, la décision du mai 2019 doit être également annulée, dans la mesure où elle reprend implicitement cette première décision s'agissant du degré d'invalidité à la base de la rente de l'assuré. 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les avances de frais versées par le recourant à hauteur totale de Fr. 1'600.- (TAF, pces 2 ; 3 ; 7) lui seront restituées dès l'entrée en force du présent arrêt.</w:t>
      </w:r>
    </w:p>
    <w:p>
      <w:r>
        <w:rPr>
          <w:b/>
        </w:rPr>
        <w:t>E. 8</w:t>
      </w:r>
    </w:p>
    <w:p>
      <w:r>
        <w:t>Selon l'art. 14 FITAF, les parties qui ont droit aux dépens et les avocats commis d'office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une indemnité à titre de dépens fixée à Fr. 2'800.-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